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1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Требования к </w:t>
      </w:r>
      <w:r>
        <w:rPr>
          <w:b/>
        </w:rPr>
        <w:t xml:space="preserve">размещению </w:t>
      </w:r>
      <w:r>
        <w:rPr>
          <w:b/>
        </w:rPr>
        <w:t xml:space="preserve">информационных сообщений</w:t>
      </w:r>
      <w:r>
        <w:rPr>
          <w:b/>
        </w:rPr>
        <w:t xml:space="preserve"> в городе Урай</w:t>
      </w:r>
      <w:r>
        <w:rPr>
          <w:b/>
        </w:rPr>
      </w:r>
    </w:p>
    <w:p>
      <w:pPr>
        <w:pStyle w:val="621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>
        <w:rPr>
          <w:u w:val="single"/>
        </w:rPr>
      </w:r>
      <w:r>
        <w:rPr>
          <w:u w:val="single"/>
        </w:rPr>
      </w:r>
    </w:p>
    <w:p>
      <w:pPr>
        <w:pStyle w:val="622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Подпунктом 7.4.4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пункта 7.4 раздела 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Правил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благоустройства территории города Урай, утвержденных решением Думы города Урай от 28.06.2018 г. №31 (далее – Правила благоустройства) предусмотрен запрет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расклеивание, развешивание, размещен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ие на зданиях, ограждениях (в том числе входных групп, лестниц), остановочных пунктах, опорах освещения, деревьях, дорожных знаках, светофорах, за исключением специально отведенных для этих целей мест (рекламные конструкции, афишные тумбы, доски объявлений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иные подобные объекты), объявлений физических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юридических лиц, индивидуальных предпринимателей, афиш, плакатов, аншлагов и других информационных сообщений, порядок размещения которых не регламентирован законодательством Российской Федерации о рекламе.</w:t>
      </w:r>
      <w:r>
        <w:rPr>
          <w:rFonts w:ascii="Times New Roman" w:hAnsi="Times New Roman" w:cs="Times New Roman"/>
          <w:sz w:val="24"/>
          <w:szCs w:val="24"/>
          <w:lang w:eastAsia="ru-RU"/>
        </w:rPr>
      </w:r>
    </w:p>
    <w:p>
      <w:pPr>
        <w:pStyle w:val="622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Чаще всего требования Правил благоустройства в этой части не соблюдаются гостями нашего города, которые спешат реализовать горожанам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свою продукцию, услуги, работы. С целью привлечения внимания к своему визиту, месту реализации своих товаров, ими выбирается способ в виде расклеивания информационных сообщений на объектах, которые не предусматривают такое размещение, тем самым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наруша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эстетический вид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создавая неудобства собственникам (пользователям) вышеуказанных объектов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</w:r>
    </w:p>
    <w:p>
      <w:pPr>
        <w:pStyle w:val="622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размещения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объявлений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афиш, плакатов, аншлагов и других информационных сообщений, порядок размещения которых не регламентирован законодательством Российской Федерации о рекламе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юридически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индивидуальны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ям необходимо пользоваться более современными источниками информации, такими как, средства массовой информации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(информационные газеты, телевидение,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радиоэфиры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социальные сети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и менее затратными, специальн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предусмотренными досками для объявлений. Последний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способ является наиболее эффективным, поскольку доски для объявлений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как правил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возле остановочных комплексов, подъездов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многоквартирных домов, которые могут привлечь внимание огромное количество потенциальных потребителей услуг, работ и продукции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(товаров)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Урай также не допускается </w:t>
      </w:r>
      <w:r>
        <w:rPr>
          <w:rFonts w:ascii="Times New Roman" w:hAnsi="Times New Roman" w:cs="Times New Roman"/>
          <w:sz w:val="24"/>
          <w:szCs w:val="24"/>
        </w:rPr>
        <w:t xml:space="preserve">размещение выносных конструкций (</w:t>
      </w:r>
      <w:r>
        <w:rPr>
          <w:rFonts w:ascii="Times New Roman" w:hAnsi="Times New Roman" w:cs="Times New Roman"/>
          <w:sz w:val="24"/>
          <w:szCs w:val="24"/>
        </w:rPr>
        <w:t xml:space="preserve">штендеров</w:t>
      </w:r>
      <w:r>
        <w:rPr>
          <w:rFonts w:ascii="Times New Roman" w:hAnsi="Times New Roman" w:cs="Times New Roman"/>
          <w:sz w:val="24"/>
          <w:szCs w:val="24"/>
        </w:rPr>
        <w:t xml:space="preserve">, информационных щитов, указателей), не имеющих отношения к обеспечению безопаснос</w:t>
      </w:r>
      <w:r>
        <w:rPr>
          <w:rFonts w:ascii="Times New Roman" w:hAnsi="Times New Roman" w:cs="Times New Roman"/>
          <w:sz w:val="24"/>
          <w:szCs w:val="24"/>
        </w:rPr>
        <w:t xml:space="preserve">ти дорожного движения или осуществлению дорожной деятельности, на землях, расположенных в границах муниципального образования городской округ город Урай, государственная собственность на которые не разграничена или находящихся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Следовательно, юридические лица, индивидуальные предприниматели, </w:t>
      </w:r>
      <w:r>
        <w:rPr>
          <w:rFonts w:ascii="Times New Roman" w:hAnsi="Times New Roman" w:cs="Times New Roman"/>
          <w:sz w:val="24"/>
          <w:szCs w:val="24"/>
        </w:rPr>
        <w:t xml:space="preserve">самозанятые</w:t>
      </w:r>
      <w:r>
        <w:rPr>
          <w:rFonts w:ascii="Times New Roman" w:hAnsi="Times New Roman" w:cs="Times New Roman"/>
          <w:sz w:val="24"/>
          <w:szCs w:val="24"/>
        </w:rPr>
        <w:t xml:space="preserve"> граждане не вправе на территории города Урай выбирать вышеуказанный способ размещения сообщений о своих услугах, продукции (товаре).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муниципального контроля </w:t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276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ind w:left="720"/>
      <w:contextualSpacing/>
    </w:pPr>
  </w:style>
  <w:style w:type="paragraph" w:styleId="34">
    <w:name w:val="Title"/>
    <w:basedOn w:val="617"/>
    <w:next w:val="617"/>
    <w:link w:val="35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spacing w:after="57"/>
      <w:ind w:left="0" w:right="0" w:firstLine="0"/>
    </w:pPr>
  </w:style>
  <w:style w:type="paragraph" w:styleId="182">
    <w:name w:val="toc 2"/>
    <w:basedOn w:val="617"/>
    <w:next w:val="617"/>
    <w:uiPriority w:val="39"/>
    <w:unhideWhenUsed/>
    <w:pPr>
      <w:spacing w:after="57"/>
      <w:ind w:left="283" w:right="0" w:firstLine="0"/>
    </w:pPr>
  </w:style>
  <w:style w:type="paragraph" w:styleId="183">
    <w:name w:val="toc 3"/>
    <w:basedOn w:val="617"/>
    <w:next w:val="617"/>
    <w:uiPriority w:val="39"/>
    <w:unhideWhenUsed/>
    <w:pPr>
      <w:spacing w:after="57"/>
      <w:ind w:left="567" w:right="0" w:firstLine="0"/>
    </w:pPr>
  </w:style>
  <w:style w:type="paragraph" w:styleId="184">
    <w:name w:val="toc 4"/>
    <w:basedOn w:val="617"/>
    <w:next w:val="617"/>
    <w:uiPriority w:val="39"/>
    <w:unhideWhenUsed/>
    <w:pPr>
      <w:spacing w:after="57"/>
      <w:ind w:left="850" w:right="0" w:firstLine="0"/>
    </w:pPr>
  </w:style>
  <w:style w:type="paragraph" w:styleId="185">
    <w:name w:val="toc 5"/>
    <w:basedOn w:val="617"/>
    <w:next w:val="617"/>
    <w:uiPriority w:val="39"/>
    <w:unhideWhenUsed/>
    <w:pPr>
      <w:spacing w:after="57"/>
      <w:ind w:left="1134" w:right="0" w:firstLine="0"/>
    </w:pPr>
  </w:style>
  <w:style w:type="paragraph" w:styleId="186">
    <w:name w:val="toc 6"/>
    <w:basedOn w:val="617"/>
    <w:next w:val="617"/>
    <w:uiPriority w:val="39"/>
    <w:unhideWhenUsed/>
    <w:pPr>
      <w:spacing w:after="57"/>
      <w:ind w:left="1417" w:right="0" w:firstLine="0"/>
    </w:pPr>
  </w:style>
  <w:style w:type="paragraph" w:styleId="187">
    <w:name w:val="toc 7"/>
    <w:basedOn w:val="617"/>
    <w:next w:val="617"/>
    <w:uiPriority w:val="39"/>
    <w:unhideWhenUsed/>
    <w:pPr>
      <w:spacing w:after="57"/>
      <w:ind w:left="1701" w:right="0" w:firstLine="0"/>
    </w:pPr>
  </w:style>
  <w:style w:type="paragraph" w:styleId="188">
    <w:name w:val="toc 8"/>
    <w:basedOn w:val="617"/>
    <w:next w:val="617"/>
    <w:uiPriority w:val="39"/>
    <w:unhideWhenUsed/>
    <w:pPr>
      <w:spacing w:after="57"/>
      <w:ind w:left="1984" w:right="0" w:firstLine="0"/>
    </w:pPr>
  </w:style>
  <w:style w:type="paragraph" w:styleId="189">
    <w:name w:val="toc 9"/>
    <w:basedOn w:val="617"/>
    <w:next w:val="617"/>
    <w:uiPriority w:val="39"/>
    <w:unhideWhenUsed/>
    <w:pPr>
      <w:spacing w:after="57"/>
      <w:ind w:left="2268" w:right="0" w:firstLine="0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Normal (Web)"/>
    <w:basedOn w:val="61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22">
    <w:name w:val="No Spacing"/>
    <w:uiPriority w:val="99"/>
    <w:qFormat/>
    <w:pPr>
      <w:spacing w:after="0" w:line="240" w:lineRule="auto"/>
    </w:pPr>
    <w:rPr>
      <w:rFonts w:ascii="Calibri" w:hAnsi="Calibri" w:eastAsia="Times New Roman" w:cs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revision>11</cp:revision>
  <dcterms:created xsi:type="dcterms:W3CDTF">2020-04-03T10:59:00Z</dcterms:created>
  <dcterms:modified xsi:type="dcterms:W3CDTF">2024-03-29T06:55:19Z</dcterms:modified>
</cp:coreProperties>
</file>