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spacing w:before="0" w:after="0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lang w:val="en-US"/>
        </w:rPr>
      </w:r>
    </w:p>
    <w:p>
      <w:pPr>
        <w:pStyle w:val="639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>
        <w:rPr>
          <w:rFonts w:ascii="Times New Roman" w:hAnsi="Times New Roman"/>
          <w:sz w:val="24"/>
          <w:szCs w:val="24"/>
        </w:rPr>
        <w:t xml:space="preserve">УРАЙ</w:t>
      </w:r>
      <w:r>
        <w:rPr>
          <w:rFonts w:ascii="Times New Roman" w:hAnsi="Times New Roman"/>
          <w:b w:val="0"/>
          <w:sz w:val="24"/>
          <w:szCs w:val="24"/>
        </w:rPr>
      </w:r>
    </w:p>
    <w:p>
      <w:pPr>
        <w:jc w:val="center"/>
        <w:rPr>
          <w:b/>
        </w:rPr>
      </w:pPr>
      <w:r>
        <w:rPr>
          <w:b/>
        </w:rPr>
        <w:t xml:space="preserve">Ханты-Мансийск</w:t>
      </w:r>
      <w:r>
        <w:rPr>
          <w:b/>
        </w:rPr>
        <w:t xml:space="preserve">ого</w:t>
      </w:r>
      <w:r>
        <w:rPr>
          <w:b/>
        </w:rPr>
        <w:t xml:space="preserve"> автономн</w:t>
      </w:r>
      <w:r>
        <w:rPr>
          <w:b/>
        </w:rPr>
        <w:t xml:space="preserve">ого</w:t>
      </w:r>
      <w:r>
        <w:rPr>
          <w:b/>
        </w:rPr>
        <w:t xml:space="preserve"> округ</w:t>
      </w:r>
      <w:r>
        <w:rPr>
          <w:b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634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 xml:space="preserve">АДМИНИСТРАЦИЯ</w:t>
      </w:r>
      <w:r>
        <w:rPr>
          <w:rFonts w:ascii="Times New Roman" w:hAnsi="Times New Roman"/>
          <w:sz w:val="40"/>
        </w:rPr>
        <w:t xml:space="preserve"> ГОРОДА УРАЙ</w:t>
      </w:r>
      <w:r>
        <w:rPr>
          <w:rFonts w:ascii="Times New Roman" w:hAnsi="Times New Roman"/>
          <w:b w:val="0"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pStyle w:val="641"/>
        <w:ind w:left="0"/>
        <w:rPr>
          <w:b/>
        </w:rPr>
      </w:pPr>
      <w:r>
        <w:rPr>
          <w:b/>
        </w:rPr>
      </w:r>
      <w:r>
        <w:rPr>
          <w:b/>
        </w:rPr>
      </w:r>
    </w:p>
    <w:p>
      <w:pPr>
        <w:tabs>
          <w:tab w:val="left" w:pos="7938" w:leader="none"/>
        </w:tabs>
        <w:jc w:val="both"/>
      </w:pPr>
    </w:p>
    <w:p>
      <w:pPr>
        <w:tabs>
          <w:tab w:val="left" w:pos="7938" w:leader="none"/>
        </w:tabs>
        <w:jc w:val="both"/>
      </w:pPr>
      <w:r>
        <w:t xml:space="preserve">о</w:t>
      </w:r>
      <w:r>
        <w:t xml:space="preserve">т</w:t>
      </w:r>
      <w:r>
        <w:t xml:space="preserve"> </w:t>
      </w:r>
      <w:r>
        <w:t xml:space="preserve">________________                                                                                                  №______</w:t>
      </w:r>
    </w:p>
    <w:p>
      <w:pPr>
        <w:tabs>
          <w:tab w:val="left" w:pos="7938" w:leader="none"/>
        </w:tabs>
        <w:jc w:val="both"/>
      </w:pPr>
    </w:p>
    <w:p/>
    <w:p>
      <w:pPr>
        <w:ind w:left="0" w:right="4252" w:firstLine="0"/>
        <w:jc w:val="both"/>
      </w:pPr>
      <w:r>
        <w:t xml:space="preserve">Об определении стоимости услуг по погребению, </w:t>
      </w:r>
    </w:p>
    <w:p>
      <w:pPr>
        <w:ind w:left="0" w:right="4252" w:firstLine="0"/>
        <w:jc w:val="both"/>
      </w:pPr>
      <w:r>
        <w:t xml:space="preserve">предоставляемых </w:t>
      </w:r>
      <w:r>
        <w:t xml:space="preserve">специализированной службой по вопросам похоронного дела</w:t>
      </w:r>
    </w:p>
    <w:p/>
    <w:p/>
    <w:p>
      <w:pPr>
        <w:pStyle w:val="649"/>
        <w:suppressLineNumbers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на основании статей 9, 12 Федерального закона от 12.01.1996 №8-ФЗ «О погребении и похоронном деле», постановления администрации города Урай от 29.01.2019 №169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оложения об оказании ритуальных услуг и содержании мест захоронения на территории города Урай»: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uppressLineNumbers w:val="0"/>
        <w:ind w:firstLine="709"/>
        <w:jc w:val="both"/>
      </w:pPr>
      <w:r>
        <w:t xml:space="preserve">1. Определить </w:t>
      </w:r>
      <w:r>
        <w:t xml:space="preserve">стоимость услуг по погребению, </w:t>
      </w:r>
      <w:r>
        <w:t xml:space="preserve">предоставляемых</w:t>
      </w:r>
      <w:r>
        <w:t xml:space="preserve"> </w:t>
      </w:r>
      <w:r>
        <w:t xml:space="preserve">специализированной службой по вопросам похоронного дела</w:t>
      </w:r>
      <w:r>
        <w:t xml:space="preserve">, согласно приложению</w:t>
      </w:r>
      <w:r>
        <w:t xml:space="preserve">. </w:t>
      </w:r>
    </w:p>
    <w:p>
      <w:pPr>
        <w:suppressLineNumbers w:val="0"/>
        <w:ind w:firstLine="709"/>
        <w:jc w:val="both"/>
      </w:pPr>
      <w:r>
        <w:t xml:space="preserve">2. Признать утратившим силу постановление администрации города Урай от </w:t>
      </w:r>
      <w:r>
        <w:t xml:space="preserve">18</w:t>
      </w:r>
      <w:r>
        <w:t xml:space="preserve">.0</w:t>
      </w:r>
      <w:r>
        <w:t xml:space="preserve">5</w:t>
      </w:r>
      <w:r>
        <w:t xml:space="preserve">.202</w:t>
      </w:r>
      <w:r>
        <w:t xml:space="preserve">3</w:t>
      </w:r>
      <w:r>
        <w:t xml:space="preserve"> №</w:t>
      </w:r>
      <w:r>
        <w:t xml:space="preserve">1015</w:t>
      </w:r>
      <w:r>
        <w:t xml:space="preserve"> «Об определении стоимости услуг, </w:t>
      </w:r>
      <w:r>
        <w:t xml:space="preserve">предоставляемых</w:t>
      </w:r>
      <w:r>
        <w:t xml:space="preserve"> согласно гарантированному перечню услуг по погребению умерших».</w:t>
      </w:r>
    </w:p>
    <w:p>
      <w:pPr>
        <w:suppressLineNumbers w:val="0"/>
        <w:ind w:firstLine="709"/>
        <w:jc w:val="both"/>
      </w:pPr>
      <w:r>
        <w:t xml:space="preserve">3. Постановление вступает в силу после его официального опубликования и распространяется на правоотношения, </w:t>
      </w:r>
      <w:r>
        <w:t xml:space="preserve">возникшие с </w:t>
      </w:r>
      <w:r>
        <w:t xml:space="preserve">01.02.202</w:t>
      </w:r>
      <w:r>
        <w:t xml:space="preserve">4</w:t>
      </w:r>
      <w:r>
        <w:t xml:space="preserve">.</w:t>
      </w:r>
    </w:p>
    <w:p>
      <w:pPr>
        <w:suppressLineNumbers w:val="0"/>
        <w:ind w:firstLine="709"/>
        <w:jc w:val="both"/>
      </w:pPr>
      <w:r>
        <w:t xml:space="preserve">4.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>
      <w:pPr>
        <w:suppressLineNumbers w:val="0"/>
        <w:ind w:firstLine="709"/>
        <w:jc w:val="both"/>
      </w:pPr>
      <w:r>
        <w:t xml:space="preserve">5. Контроль за выполнением постановления возложить на заместителя главы города Урай </w:t>
      </w:r>
      <w:r>
        <w:rPr>
          <w:lang w:val="en-US"/>
        </w:rPr>
        <w:t xml:space="preserve">C</w:t>
      </w:r>
      <w:r>
        <w:t xml:space="preserve">.П.Новосёлову</w:t>
      </w:r>
      <w:bookmarkStart w:id="0" w:name="_GoBack"/>
      <w:bookmarkEnd w:id="0"/>
      <w:r>
        <w:t xml:space="preserve">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Глава города Урай                                                                                                 </w:t>
      </w:r>
      <w:r>
        <w:t xml:space="preserve">Т.Р.Закирзянов</w:t>
      </w:r>
      <w:r>
        <w:t xml:space="preserve">                                                                      </w:t>
      </w: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</w:p>
    <w:p>
      <w:pPr>
        <w:ind w:firstLine="4500"/>
        <w:jc w:val="right"/>
      </w:pPr>
      <w:r>
        <w:t xml:space="preserve">Приложение </w:t>
      </w:r>
      <w:r>
        <w:t xml:space="preserve">к постановлению </w:t>
      </w:r>
    </w:p>
    <w:p>
      <w:pPr>
        <w:ind w:firstLine="4500"/>
        <w:jc w:val="right"/>
      </w:pPr>
      <w:r>
        <w:t xml:space="preserve">администрации города Урай</w:t>
      </w:r>
    </w:p>
    <w:p>
      <w:pPr>
        <w:ind w:firstLine="4500"/>
        <w:jc w:val="right"/>
      </w:pPr>
      <w:r>
        <w:t xml:space="preserve"> от __________ № _________</w:t>
      </w:r>
    </w:p>
    <w:p>
      <w:pPr>
        <w:jc w:val="right"/>
      </w:pPr>
    </w:p>
    <w:p/>
    <w:p>
      <w:pPr>
        <w:ind w:left="0" w:right="0" w:firstLine="0"/>
        <w:jc w:val="center"/>
      </w:pPr>
      <w:r>
        <w:t xml:space="preserve">Стоимость услуг </w:t>
      </w:r>
      <w:r>
        <w:t xml:space="preserve">по погребению, </w:t>
      </w:r>
      <w:r>
        <w:t xml:space="preserve">предоставляемых </w:t>
      </w:r>
      <w:r>
        <w:t xml:space="preserve">специализированной службой по вопросам похоронного дела</w:t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0"/>
        <w:gridCol w:w="6588"/>
        <w:gridCol w:w="2160"/>
      </w:tblGrid>
      <w:tr>
        <w:trPr>
          <w:trHeight w:val="635"/>
        </w:trPr>
        <w:tblPrEx/>
        <w:tc>
          <w:tcPr>
            <w:tcW w:w="540" w:type="dxa"/>
            <w:noWrap w:val="false"/>
            <w:textDirection w:val="lrTb"/>
          </w:tcPr>
          <w:p>
            <w:pPr>
              <w:jc w:val="center"/>
            </w:pPr>
            <w:r>
              <w:t xml:space="preserve">№ </w:t>
            </w:r>
            <w:r>
              <w:t xml:space="preserve">п</w:t>
            </w:r>
            <w:r>
              <w:t xml:space="preserve">/</w:t>
            </w:r>
            <w:r>
              <w:t xml:space="preserve">п</w:t>
            </w:r>
          </w:p>
        </w:tc>
        <w:tc>
          <w:tcPr>
            <w:tcW w:w="6588" w:type="dxa"/>
            <w:noWrap w:val="false"/>
            <w:textDirection w:val="lrTb"/>
            <w:vAlign w:val="center"/>
          </w:tcPr>
          <w:p>
            <w:pPr>
              <w:jc w:val="center"/>
            </w:pPr>
            <w:r>
              <w:t xml:space="preserve">Наименование услуг</w:t>
            </w:r>
          </w:p>
        </w:tc>
        <w:tc>
          <w:tcPr>
            <w:tcW w:w="2160" w:type="dxa"/>
            <w:noWrap w:val="false"/>
            <w:textDirection w:val="lrTb"/>
            <w:vAlign w:val="center"/>
          </w:tcPr>
          <w:p>
            <w:pPr>
              <w:jc w:val="center"/>
            </w:pPr>
            <w:r>
              <w:t xml:space="preserve">Стоимость, руб.*</w:t>
            </w:r>
          </w:p>
        </w:tc>
      </w:tr>
      <w:tr>
        <w:trPr/>
        <w:tblPrEx/>
        <w:tc>
          <w:tcPr>
            <w:tcW w:w="540" w:type="dxa"/>
            <w:noWrap w:val="false"/>
            <w:textDirection w:val="lrTb"/>
          </w:tcPr>
          <w:p>
            <w:r>
              <w:t xml:space="preserve">1</w:t>
            </w:r>
          </w:p>
        </w:tc>
        <w:tc>
          <w:tcPr>
            <w:tcW w:w="6588" w:type="dxa"/>
            <w:noWrap w:val="false"/>
            <w:textDirection w:val="lrTb"/>
          </w:tcPr>
          <w:p>
            <w:pPr>
              <w:jc w:val="both"/>
            </w:pPr>
            <w:r>
              <w:t xml:space="preserve">Услуг</w:t>
            </w:r>
            <w:r>
              <w:t xml:space="preserve">и</w:t>
            </w:r>
            <w:r>
              <w:t xml:space="preserve">, предоставляем</w:t>
            </w:r>
            <w:r>
              <w:t xml:space="preserve">ые</w:t>
            </w:r>
            <w:r>
              <w:t xml:space="preserve"> </w:t>
            </w:r>
            <w:r>
              <w:t xml:space="preserve">специализированной службой по вопросам похоронного дела </w:t>
            </w:r>
            <w:r>
              <w:t xml:space="preserve">согласно </w:t>
            </w:r>
            <w:r>
              <w:t xml:space="preserve">гарантированному перечню услуг по погребению </w:t>
            </w:r>
            <w:r>
              <w:t xml:space="preserve">в соответствии со статьей 9 </w:t>
            </w:r>
            <w:r>
              <w:t xml:space="preserve">Ф</w:t>
            </w:r>
            <w:r>
              <w:t xml:space="preserve">едерального закона от 12.01.1996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2160" w:type="dxa"/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  <w:t xml:space="preserve"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555</w:t>
            </w:r>
            <w:r>
              <w:t xml:space="preserve">,00</w:t>
            </w:r>
          </w:p>
        </w:tc>
      </w:tr>
      <w:tr>
        <w:trPr/>
        <w:tblPrEx/>
        <w:tc>
          <w:tcPr>
            <w:tcW w:w="540" w:type="dxa"/>
            <w:noWrap w:val="false"/>
            <w:textDirection w:val="lrTb"/>
          </w:tcPr>
          <w:p>
            <w:r>
              <w:t xml:space="preserve">2</w:t>
            </w:r>
          </w:p>
        </w:tc>
        <w:tc>
          <w:tcPr>
            <w:tcW w:w="6588" w:type="dxa"/>
            <w:noWrap w:val="false"/>
            <w:textDirection w:val="lrTb"/>
          </w:tcPr>
          <w:p>
            <w:pPr>
              <w:jc w:val="both"/>
            </w:pPr>
            <w:r>
              <w:t xml:space="preserve">Услуг</w:t>
            </w:r>
            <w:r>
              <w:t xml:space="preserve">и</w:t>
            </w:r>
            <w:r>
              <w:t xml:space="preserve">,</w:t>
            </w:r>
            <w:r>
              <w:t xml:space="preserve"> </w:t>
            </w:r>
            <w:r>
              <w:t xml:space="preserve">предоставляемые </w:t>
            </w:r>
            <w:r>
              <w:t xml:space="preserve">специализированной службой по вопросам похоронного дела</w:t>
            </w:r>
            <w:r>
              <w:t xml:space="preserve"> </w:t>
            </w:r>
            <w:r>
              <w:t xml:space="preserve">согласно перечню услуг по погребению погибших (умерших)</w:t>
            </w:r>
            <w:r>
              <w:t xml:space="preserve"> </w:t>
            </w:r>
            <w:r>
              <w:t xml:space="preserve">в соответствии со статьей 12 </w:t>
            </w:r>
            <w:r>
              <w:t xml:space="preserve">Ф</w:t>
            </w:r>
            <w:r>
              <w:t xml:space="preserve">едерального закона от 12.01.1996 №8-ФЗ «О погребении и похоронном деле» при </w:t>
            </w:r>
            <w:r>
              <w:t xml:space="preserve">отсутствии супруга, </w:t>
            </w:r>
            <w:r>
              <w:t xml:space="preserve">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  <w:r>
              <w:t xml:space="preserve">,</w:t>
            </w:r>
            <w:r>
              <w:t xml:space="preserve"> и при погребении умерших, личность которых не</w:t>
            </w:r>
            <w:r>
              <w:t xml:space="preserve"> </w:t>
            </w:r>
            <w:r>
              <w:t xml:space="preserve">установлена</w:t>
            </w:r>
            <w:r>
              <w:t xml:space="preserve"> органами внутренних дел в определенные законодательством Российской Федерации сроки</w:t>
            </w:r>
            <w:r>
              <w:t xml:space="preserve"> </w:t>
            </w:r>
          </w:p>
        </w:tc>
        <w:tc>
          <w:tcPr>
            <w:tcW w:w="2160" w:type="dxa"/>
            <w:noWrap w:val="false"/>
            <w:textDirection w:val="lrTb"/>
            <w:vAlign w:val="center"/>
          </w:tcPr>
          <w:p>
            <w:pPr>
              <w:jc w:val="center"/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  <w:t xml:space="preserve"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555</w:t>
            </w:r>
            <w:r>
              <w:t xml:space="preserve">,00</w:t>
            </w:r>
          </w:p>
        </w:tc>
      </w:tr>
    </w:tbl>
    <w:p/>
    <w:p/>
    <w:p>
      <w:pPr>
        <w:jc w:val="both"/>
      </w:pPr>
      <w:r>
        <w:t xml:space="preserve">*  услуги НДС не облагаются в соответствии со статьей 149 Налогового кодекса Российской Федерации</w:t>
      </w:r>
    </w:p>
    <w:p/>
    <w:p/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4" w:hanging="1215"/>
      </w:p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5"/>
    <w:link w:val="63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3"/>
    <w:next w:val="633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3"/>
    <w:next w:val="633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3"/>
    <w:next w:val="633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3"/>
    <w:next w:val="633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3"/>
    <w:next w:val="633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5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35"/>
    <w:link w:val="639"/>
    <w:uiPriority w:val="10"/>
    <w:rPr>
      <w:sz w:val="48"/>
      <w:szCs w:val="48"/>
    </w:rPr>
  </w:style>
  <w:style w:type="paragraph" w:styleId="36">
    <w:name w:val="Subtitle"/>
    <w:basedOn w:val="633"/>
    <w:next w:val="6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5"/>
    <w:link w:val="36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3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35"/>
    <w:link w:val="42"/>
    <w:uiPriority w:val="99"/>
  </w:style>
  <w:style w:type="paragraph" w:styleId="44">
    <w:name w:val="Footer"/>
    <w:basedOn w:val="633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35"/>
    <w:link w:val="44"/>
    <w:uiPriority w:val="99"/>
  </w:style>
  <w:style w:type="paragraph" w:styleId="46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5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6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7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8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9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90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5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5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33"/>
    <w:next w:val="633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33"/>
    <w:next w:val="633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33"/>
    <w:next w:val="633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33"/>
    <w:next w:val="633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33"/>
    <w:next w:val="633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33"/>
    <w:next w:val="633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33"/>
    <w:next w:val="633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33"/>
    <w:next w:val="633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4">
    <w:name w:val="Heading 1"/>
    <w:basedOn w:val="633"/>
    <w:next w:val="633"/>
    <w:link w:val="638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Заголовок 1 Знак"/>
    <w:basedOn w:val="635"/>
    <w:link w:val="634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39">
    <w:name w:val="Title"/>
    <w:basedOn w:val="633"/>
    <w:next w:val="633"/>
    <w:link w:val="64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40" w:customStyle="1">
    <w:name w:val="Название Знак"/>
    <w:basedOn w:val="635"/>
    <w:link w:val="639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641">
    <w:name w:val="Body Text Indent"/>
    <w:basedOn w:val="633"/>
    <w:link w:val="642"/>
    <w:pPr>
      <w:ind w:left="252" w:hanging="252"/>
    </w:pPr>
  </w:style>
  <w:style w:type="character" w:styleId="642" w:customStyle="1">
    <w:name w:val="Основной текст с отступом Знак"/>
    <w:basedOn w:val="635"/>
    <w:link w:val="6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3">
    <w:name w:val="Balloon Text"/>
    <w:basedOn w:val="633"/>
    <w:link w:val="644"/>
    <w:uiPriority w:val="99"/>
    <w:semiHidden/>
    <w:unhideWhenUsed/>
    <w:rPr>
      <w:rFonts w:ascii="Tahoma" w:hAnsi="Tahoma" w:cs="Tahoma"/>
      <w:sz w:val="16"/>
      <w:szCs w:val="16"/>
    </w:rPr>
  </w:style>
  <w:style w:type="character" w:styleId="644" w:customStyle="1">
    <w:name w:val="Текст выноски Знак"/>
    <w:basedOn w:val="635"/>
    <w:link w:val="64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45">
    <w:name w:val="List Paragraph"/>
    <w:basedOn w:val="633"/>
    <w:uiPriority w:val="34"/>
    <w:qFormat/>
    <w:pPr>
      <w:ind w:left="720"/>
      <w:contextualSpacing/>
    </w:pPr>
  </w:style>
  <w:style w:type="paragraph" w:styleId="646">
    <w:name w:val="No Spacing"/>
    <w:uiPriority w:val="1"/>
    <w:qFormat/>
    <w:pPr>
      <w:spacing w:after="0" w:line="240" w:lineRule="auto"/>
    </w:pPr>
  </w:style>
  <w:style w:type="paragraph" w:styleId="647">
    <w:name w:val="Body Text 3"/>
    <w:basedOn w:val="633"/>
    <w:link w:val="648"/>
    <w:unhideWhenUsed/>
    <w:pPr>
      <w:spacing w:after="120"/>
    </w:pPr>
    <w:rPr>
      <w:sz w:val="16"/>
      <w:szCs w:val="16"/>
    </w:rPr>
  </w:style>
  <w:style w:type="character" w:styleId="648" w:customStyle="1">
    <w:name w:val="Основной текст 3 Знак"/>
    <w:basedOn w:val="635"/>
    <w:link w:val="647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649" w:customStyle="1">
    <w:name w:val="ConsPlusNormal"/>
    <w:pPr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table" w:styleId="650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25</cp:revision>
  <dcterms:created xsi:type="dcterms:W3CDTF">2021-03-05T03:42:00Z</dcterms:created>
  <dcterms:modified xsi:type="dcterms:W3CDTF">2024-04-17T05:51:25Z</dcterms:modified>
</cp:coreProperties>
</file>