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6"/>
        <w:spacing w:before="0" w:after="0"/>
        <w:rPr>
          <w:lang w:val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90575"/>
                <wp:effectExtent l="19050" t="0" r="0" b="0"/>
                <wp:docPr id="1" name="Рисунок 1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0pt;height:62.25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lang w:val="en-US"/>
        </w:rPr>
      </w:r>
    </w:p>
    <w:p>
      <w:pPr>
        <w:pStyle w:val="646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</w:t>
      </w:r>
      <w:r>
        <w:rPr>
          <w:rFonts w:ascii="Times New Roman" w:hAnsi="Times New Roman"/>
          <w:sz w:val="24"/>
          <w:szCs w:val="24"/>
        </w:rPr>
        <w:t xml:space="preserve">СКОЙ ОКРУГ </w:t>
      </w:r>
      <w:r>
        <w:rPr>
          <w:rFonts w:ascii="Times New Roman" w:hAnsi="Times New Roman"/>
          <w:sz w:val="24"/>
          <w:szCs w:val="24"/>
        </w:rPr>
        <w:t xml:space="preserve">УРАЙ</w:t>
      </w:r>
      <w:r>
        <w:rPr>
          <w:rFonts w:ascii="Times New Roman" w:hAnsi="Times New Roman"/>
          <w:b w:val="0"/>
          <w:sz w:val="24"/>
          <w:szCs w:val="24"/>
        </w:rPr>
      </w:r>
    </w:p>
    <w:p>
      <w:pPr>
        <w:jc w:val="center"/>
        <w:rPr>
          <w:b/>
        </w:rPr>
      </w:pPr>
      <w:r>
        <w:rPr>
          <w:b/>
        </w:rPr>
        <w:t xml:space="preserve">Ханты-Мансийск</w:t>
      </w:r>
      <w:r>
        <w:rPr>
          <w:b/>
        </w:rPr>
        <w:t xml:space="preserve">ого</w:t>
      </w:r>
      <w:r>
        <w:rPr>
          <w:b/>
        </w:rPr>
        <w:t xml:space="preserve"> автономн</w:t>
      </w:r>
      <w:r>
        <w:rPr>
          <w:b/>
        </w:rPr>
        <w:t xml:space="preserve">ого</w:t>
      </w:r>
      <w:r>
        <w:rPr>
          <w:b/>
        </w:rPr>
        <w:t xml:space="preserve"> округ</w:t>
      </w:r>
      <w:r>
        <w:rPr>
          <w:b/>
        </w:rPr>
        <w:t xml:space="preserve">а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 </w:t>
      </w:r>
      <w:r>
        <w:rPr>
          <w:b/>
        </w:rPr>
        <w:t xml:space="preserve">Югры</w:t>
      </w:r>
      <w:r>
        <w:rPr>
          <w:b/>
        </w:rPr>
      </w:r>
    </w:p>
    <w:p>
      <w:pPr>
        <w:pStyle w:val="64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 xml:space="preserve">АДМИНИСТРАЦИЯ</w:t>
      </w:r>
      <w:r>
        <w:rPr>
          <w:rFonts w:ascii="Times New Roman" w:hAnsi="Times New Roman"/>
          <w:sz w:val="40"/>
        </w:rPr>
        <w:t xml:space="preserve"> ГОРОДА УРАЙ</w:t>
      </w:r>
      <w:r>
        <w:rPr>
          <w:rFonts w:ascii="Times New Roman" w:hAnsi="Times New Roman"/>
          <w:b w:val="0"/>
          <w:sz w:val="40"/>
        </w:rPr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</w:p>
    <w:p>
      <w:pPr>
        <w:pStyle w:val="648"/>
        <w:ind w:left="0"/>
        <w:rPr>
          <w:b/>
        </w:rPr>
      </w:pPr>
      <w:r>
        <w:rPr>
          <w:b/>
        </w:rPr>
      </w:r>
      <w:r>
        <w:rPr>
          <w:b/>
        </w:rPr>
      </w:r>
    </w:p>
    <w:p>
      <w:pPr>
        <w:jc w:val="both"/>
        <w:tabs>
          <w:tab w:val="left" w:pos="7938" w:leader="none"/>
        </w:tabs>
      </w:pPr>
      <w:r/>
      <w:r/>
    </w:p>
    <w:p>
      <w:pPr>
        <w:jc w:val="both"/>
        <w:tabs>
          <w:tab w:val="left" w:pos="7938" w:leader="none"/>
        </w:tabs>
      </w:pPr>
      <w:r>
        <w:t xml:space="preserve">о</w:t>
      </w:r>
      <w:r>
        <w:t xml:space="preserve">т</w:t>
      </w:r>
      <w:r>
        <w:t xml:space="preserve"> </w:t>
      </w:r>
      <w:r>
        <w:t xml:space="preserve">________________                                                                                                  №______</w:t>
      </w:r>
      <w:r/>
    </w:p>
    <w:p>
      <w:pPr>
        <w:jc w:val="both"/>
        <w:tabs>
          <w:tab w:val="left" w:pos="7938" w:leader="none"/>
        </w:tabs>
      </w:pPr>
      <w:r/>
      <w:r/>
    </w:p>
    <w:p>
      <w:r/>
      <w:r/>
    </w:p>
    <w:p>
      <w:pPr>
        <w:ind w:left="0" w:right="5102" w:firstLine="0"/>
        <w:jc w:val="left"/>
        <w:outlineLvl w:val="0"/>
      </w:pPr>
      <w:r>
        <w:t xml:space="preserve">Об установлении размера платы за пользование жилым</w:t>
      </w:r>
      <w:r>
        <w:t xml:space="preserve">и</w:t>
      </w:r>
      <w:r>
        <w:t xml:space="preserve"> помещени</w:t>
      </w:r>
      <w:r>
        <w:t xml:space="preserve">ями</w:t>
      </w:r>
      <w:r>
        <w:t xml:space="preserve"> (платы за наем) в </w:t>
      </w:r>
      <w:r>
        <w:t xml:space="preserve">городе</w:t>
      </w:r>
      <w:r>
        <w:t xml:space="preserve"> Урай </w:t>
      </w:r>
      <w:r/>
    </w:p>
    <w:p>
      <w:r/>
      <w:r/>
    </w:p>
    <w:p>
      <w:r/>
      <w:r/>
    </w:p>
    <w:p>
      <w:pPr>
        <w:ind w:right="-2" w:firstLine="709"/>
        <w:jc w:val="both"/>
        <w:outlineLvl w:val="0"/>
      </w:pPr>
      <w:r>
        <w:rPr>
          <w:color w:val="000000" w:themeColor="text1"/>
        </w:rPr>
        <w:t xml:space="preserve">В соответствии с </w:t>
      </w:r>
      <w:hyperlink r:id="rId10" w:tooltip="consultantplus://offline/ref=875176BDDFEBC0AEA95EC53D7ACAEEB8DB9AAE56EA1CDA31A415E671DD6AEDC6490868F54B73D43C3C51FBEF10EC955268723A6550717639m4i3H" w:history="1">
        <w:r>
          <w:rPr>
            <w:color w:val="000000" w:themeColor="text1"/>
          </w:rPr>
          <w:t xml:space="preserve">частью 3 статьи 156</w:t>
        </w:r>
      </w:hyperlink>
      <w:r>
        <w:rPr>
          <w:color w:val="000000" w:themeColor="text1"/>
        </w:rPr>
        <w:t xml:space="preserve"> Жилищного кодекса Российской Федерации, Федеральным </w:t>
      </w:r>
      <w:hyperlink r:id="rId11" w:tooltip="consultantplus://offline/ref=875176BDDFEBC0AEA95EC53D7ACAEEB8DB98AB5AE016DA31A415E671DD6AEDC65B0830F94971CE353344ADBE56mBiBH" w:history="1">
        <w:r>
          <w:rPr>
            <w:color w:val="000000" w:themeColor="text1"/>
          </w:rPr>
          <w:t xml:space="preserve">законом</w:t>
        </w:r>
      </w:hyperlink>
      <w:r>
        <w:rPr>
          <w:color w:val="000000" w:themeColor="text1"/>
        </w:rPr>
        <w:t xml:space="preserve"> от 06.10.2003 </w:t>
      </w:r>
      <w:r>
        <w:rPr>
          <w:color w:val="000000" w:themeColor="text1"/>
        </w:rPr>
        <w:t xml:space="preserve">№</w:t>
      </w:r>
      <w:r>
        <w:rPr>
          <w:color w:val="000000" w:themeColor="text1"/>
        </w:rPr>
        <w:t xml:space="preserve">131-ФЗ </w:t>
      </w:r>
      <w:r>
        <w:rPr>
          <w:color w:val="000000" w:themeColor="text1"/>
        </w:rPr>
        <w:t xml:space="preserve">«</w:t>
      </w:r>
      <w:r>
        <w:rPr>
          <w:color w:val="000000" w:themeColor="text1"/>
        </w:rPr>
        <w:t xml:space="preserve">Об общих принципах организации местного самоуправления в Российской Федерации</w:t>
      </w:r>
      <w:r>
        <w:rPr>
          <w:color w:val="000000" w:themeColor="text1"/>
        </w:rPr>
        <w:t xml:space="preserve">»</w:t>
      </w:r>
      <w:r>
        <w:rPr>
          <w:color w:val="000000" w:themeColor="text1"/>
        </w:rPr>
        <w:t xml:space="preserve">, п</w:t>
      </w:r>
      <w:hyperlink r:id="rId12" w:tooltip="consultantplus://offline/ref=875176BDDFEBC0AEA95EC53D7ACAEEB8DD9AAD57E31CDA31A415E671DD6AEDC6490868F54B72D0343051FBEF10EC955268723A6550717639m4i3H" w:history="1">
        <w:r>
          <w:rPr>
            <w:color w:val="000000" w:themeColor="text1"/>
          </w:rPr>
          <w:t xml:space="preserve">риказом</w:t>
        </w:r>
      </w:hyperlink>
      <w:r>
        <w:rPr>
          <w:color w:val="000000" w:themeColor="text1"/>
        </w:rPr>
        <w:t xml:space="preserve"> </w:t>
      </w:r>
      <w:r/>
      <w:r>
        <w:rPr>
          <w:color w:val="000000" w:themeColor="text1"/>
        </w:rPr>
        <w:t xml:space="preserve">Министерства строительства </w:t>
      </w:r>
      <w:r/>
      <w:r>
        <w:rPr>
          <w:color w:val="000000" w:themeColor="text1"/>
        </w:rPr>
        <w:t xml:space="preserve">и жилищно-коммунального хозяйства</w:t>
      </w:r>
      <w:r>
        <w:t xml:space="preserve"> </w:t>
      </w:r>
      <w:r>
        <w:rPr>
          <w:color w:val="000000" w:themeColor="text1"/>
        </w:rPr>
      </w:r>
      <w:r>
        <w:rPr>
          <w:color w:val="000000" w:themeColor="text1"/>
        </w:rPr>
        <w:t xml:space="preserve">Российской Федерации</w:t>
      </w:r>
      <w:r/>
      <w:r>
        <w:rPr>
          <w:color w:val="000000" w:themeColor="text1"/>
        </w:rPr>
        <w:t xml:space="preserve"> от 27.09.2016 </w:t>
      </w:r>
      <w:r>
        <w:rPr>
          <w:color w:val="000000" w:themeColor="text1"/>
        </w:rPr>
        <w:t xml:space="preserve">№</w:t>
      </w:r>
      <w:r>
        <w:rPr>
          <w:color w:val="000000" w:themeColor="text1"/>
        </w:rPr>
        <w:t xml:space="preserve">668/</w:t>
      </w:r>
      <w:r>
        <w:rPr>
          <w:color w:val="000000" w:themeColor="text1"/>
        </w:rPr>
        <w:t xml:space="preserve">пр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«</w:t>
      </w:r>
      <w:r>
        <w:rPr>
          <w:color w:val="000000" w:themeColor="text1"/>
        </w:rPr>
        <w:t xml:space="preserve"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color w:val="000000" w:themeColor="text1"/>
        </w:rPr>
        <w:t xml:space="preserve">»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решением Думы города Урай от </w:t>
      </w:r>
      <w:r>
        <w:rPr>
          <w:rFonts w:eastAsiaTheme="minorHAnsi"/>
          <w:lang w:eastAsia="en-US"/>
        </w:rPr>
        <w:t xml:space="preserve">25</w:t>
      </w:r>
      <w:r>
        <w:rPr>
          <w:rFonts w:eastAsiaTheme="minorHAnsi"/>
          <w:lang w:eastAsia="en-US"/>
        </w:rPr>
        <w:t xml:space="preserve">.0</w:t>
      </w:r>
      <w:r>
        <w:rPr>
          <w:rFonts w:eastAsiaTheme="minorHAnsi"/>
          <w:lang w:eastAsia="en-US"/>
        </w:rPr>
        <w:t xml:space="preserve">6</w:t>
      </w:r>
      <w:r>
        <w:rPr>
          <w:rFonts w:eastAsiaTheme="minorHAnsi"/>
          <w:lang w:eastAsia="en-US"/>
        </w:rPr>
        <w:t xml:space="preserve">.200</w:t>
      </w:r>
      <w:r>
        <w:rPr>
          <w:rFonts w:eastAsiaTheme="minorHAnsi"/>
          <w:lang w:eastAsia="en-US"/>
        </w:rPr>
        <w:t xml:space="preserve">9</w:t>
      </w:r>
      <w:r>
        <w:rPr>
          <w:rFonts w:eastAsiaTheme="minorHAnsi"/>
          <w:lang w:eastAsia="en-US"/>
        </w:rPr>
        <w:t xml:space="preserve"> №5</w:t>
      </w:r>
      <w:r>
        <w:rPr>
          <w:rFonts w:eastAsiaTheme="minorHAnsi"/>
          <w:lang w:eastAsia="en-US"/>
        </w:rPr>
        <w:t xml:space="preserve">6</w:t>
      </w:r>
      <w:r>
        <w:rPr>
          <w:rFonts w:eastAsiaTheme="minorHAnsi"/>
          <w:lang w:eastAsia="en-US"/>
        </w:rPr>
        <w:t xml:space="preserve"> «О</w:t>
      </w:r>
      <w:r>
        <w:rPr>
          <w:rFonts w:eastAsiaTheme="minorHAnsi"/>
          <w:lang w:eastAsia="en-US"/>
        </w:rPr>
        <w:t xml:space="preserve">б определении </w:t>
      </w:r>
      <w:r>
        <w:rPr>
          <w:rFonts w:eastAsiaTheme="minorHAnsi"/>
          <w:lang w:eastAsia="en-US"/>
        </w:rPr>
        <w:t xml:space="preserve">порядк</w:t>
      </w:r>
      <w:r>
        <w:rPr>
          <w:rFonts w:eastAsiaTheme="minorHAnsi"/>
          <w:lang w:eastAsia="en-US"/>
        </w:rPr>
        <w:t xml:space="preserve">а</w:t>
      </w:r>
      <w:r>
        <w:rPr>
          <w:rFonts w:eastAsiaTheme="minorHAnsi"/>
          <w:lang w:eastAsia="en-US"/>
        </w:rPr>
        <w:t xml:space="preserve"> управления и распоряжения </w:t>
      </w:r>
      <w:r>
        <w:rPr>
          <w:rFonts w:eastAsiaTheme="minorHAnsi"/>
          <w:lang w:eastAsia="en-US"/>
        </w:rPr>
        <w:t xml:space="preserve">имуществом, находящимся в муниципальной собственности</w:t>
      </w:r>
      <w:r>
        <w:rPr>
          <w:rFonts w:eastAsiaTheme="minorHAnsi"/>
          <w:lang w:eastAsia="en-US"/>
        </w:rPr>
        <w:t xml:space="preserve"> города Урай»</w:t>
      </w:r>
      <w:r/>
      <w:r>
        <w:rPr>
          <w:rFonts w:eastAsiaTheme="minorHAnsi"/>
          <w:lang w:eastAsia="en-US"/>
        </w:rPr>
        <w:t xml:space="preserve">, </w:t>
      </w:r>
      <w:hyperlink r:id="rId13" w:tooltip="consultantplus://offline/ref=B022CC1CD966637F379B5C32394C70A167FD81BFA90362BABC36E0ACAC10810519A833171F6C78AD5862D8AA663182583Ah4j1J" w:history="1">
        <w:r>
          <w:rPr>
            <w:rFonts w:eastAsiaTheme="minorHAnsi"/>
            <w:lang w:eastAsia="en-US"/>
          </w:rPr>
          <w:t xml:space="preserve">постановлением</w:t>
        </w:r>
      </w:hyperlink>
      <w:r>
        <w:rPr>
          <w:rFonts w:eastAsiaTheme="minorHAnsi"/>
          <w:lang w:eastAsia="en-US"/>
        </w:rPr>
        <w:t xml:space="preserve"> администрации города Урай от </w:t>
      </w:r>
      <w:r>
        <w:rPr>
          <w:rFonts w:eastAsiaTheme="minorHAnsi"/>
          <w:lang w:eastAsia="en-US"/>
        </w:rPr>
        <w:t xml:space="preserve">12.10</w:t>
      </w:r>
      <w:r>
        <w:rPr>
          <w:rFonts w:eastAsiaTheme="minorHAnsi"/>
          <w:lang w:eastAsia="en-US"/>
        </w:rPr>
        <w:t xml:space="preserve">.20</w:t>
      </w:r>
      <w:r>
        <w:rPr>
          <w:rFonts w:eastAsiaTheme="minorHAnsi"/>
          <w:lang w:eastAsia="en-US"/>
        </w:rPr>
        <w:t xml:space="preserve">22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№2546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«</w:t>
      </w:r>
      <w:r>
        <w:t xml:space="preserve">Об установлении коэффициентов для расчета платы за пользование жилым помещением для </w:t>
      </w:r>
      <w:r>
        <w:t xml:space="preserve">нанимателей жилых помещений по договорам социального найма и договорам найма жилых помещений муниципального</w:t>
      </w:r>
      <w:r>
        <w:t xml:space="preserve"> жилищного фонда города Урай</w:t>
      </w:r>
      <w:r>
        <w:t xml:space="preserve">»</w:t>
      </w:r>
      <w:r>
        <w:rPr>
          <w:rFonts w:eastAsiaTheme="minorHAnsi"/>
          <w:lang w:eastAsia="en-US"/>
        </w:rPr>
        <w:t xml:space="preserve">:</w:t>
      </w:r>
      <w:r/>
      <w:r>
        <w:rPr>
          <w:color w:val="000000" w:themeColor="text1"/>
        </w:rPr>
      </w:r>
    </w:p>
    <w:p>
      <w:pPr>
        <w:ind w:firstLine="851"/>
        <w:jc w:val="both"/>
        <w:tabs>
          <w:tab w:val="left" w:pos="1134" w:leader="none"/>
        </w:tabs>
      </w:pPr>
      <w:r>
        <w:t xml:space="preserve">1. Установить ежемесячный размер платы за пользование жилым</w:t>
      </w:r>
      <w:r>
        <w:t xml:space="preserve">и</w:t>
      </w:r>
      <w:r>
        <w:t xml:space="preserve"> помещени</w:t>
      </w:r>
      <w:r>
        <w:t xml:space="preserve">ями</w:t>
      </w:r>
      <w:r>
        <w:t xml:space="preserve"> (платы за наем) в городе Урай согласно приложению.</w:t>
      </w:r>
      <w:r/>
    </w:p>
    <w:p>
      <w:pPr>
        <w:ind w:firstLine="851"/>
        <w:jc w:val="both"/>
        <w:tabs>
          <w:tab w:val="left" w:pos="1134" w:leader="none"/>
        </w:tabs>
      </w:pPr>
      <w:r>
        <w:t xml:space="preserve">2. Постановление вступает в силу с 01.</w:t>
      </w:r>
      <w:r>
        <w:t xml:space="preserve">07</w:t>
      </w:r>
      <w:r>
        <w:t xml:space="preserve">.202</w:t>
      </w:r>
      <w:r>
        <w:t xml:space="preserve">4</w:t>
      </w:r>
      <w:r>
        <w:t xml:space="preserve">.</w:t>
      </w:r>
      <w:r/>
    </w:p>
    <w:p>
      <w:pPr>
        <w:ind w:firstLine="851"/>
        <w:jc w:val="both"/>
        <w:tabs>
          <w:tab w:val="left" w:pos="1134" w:leader="none"/>
        </w:tabs>
      </w:pPr>
      <w:r>
        <w:t xml:space="preserve">3. Признать утратившим силу постановление администрации города Урай от 21.10.2022 №2640 «Об установлении размера платы за пользование жилыми помещениями (платы за наем) в городе Урай».</w:t>
      </w:r>
      <w:r/>
    </w:p>
    <w:p>
      <w:pPr>
        <w:ind w:firstLine="851"/>
        <w:jc w:val="both"/>
        <w:tabs>
          <w:tab w:val="left" w:pos="1134" w:leader="none"/>
        </w:tabs>
      </w:pPr>
      <w:r>
        <w:t xml:space="preserve">4.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/>
    </w:p>
    <w:p>
      <w:pPr>
        <w:ind w:firstLine="851"/>
        <w:jc w:val="both"/>
        <w:tabs>
          <w:tab w:val="left" w:pos="1134" w:leader="none"/>
        </w:tabs>
      </w:pPr>
      <w:r>
        <w:t xml:space="preserve">5. </w:t>
      </w:r>
      <w:r>
        <w:t xml:space="preserve">Контроль за</w:t>
      </w:r>
      <w:r>
        <w:t xml:space="preserve"> выполнением постановления возложить на заместителя главы города Урай – председателя </w:t>
      </w:r>
      <w:r>
        <w:t xml:space="preserve">комитета по </w:t>
      </w:r>
      <w:r>
        <w:t xml:space="preserve">управлению муниципальным </w:t>
      </w:r>
      <w:r>
        <w:t xml:space="preserve">имуществ</w:t>
      </w:r>
      <w:r>
        <w:t xml:space="preserve">ом</w:t>
      </w:r>
      <w:r>
        <w:t xml:space="preserve"> администрации </w:t>
      </w:r>
      <w:r>
        <w:t xml:space="preserve">города Урай </w:t>
      </w:r>
      <w:r>
        <w:t xml:space="preserve">В.Р.Гарифова</w:t>
      </w:r>
      <w:r>
        <w:t xml:space="preserve">.</w:t>
      </w:r>
      <w:r/>
    </w:p>
    <w:p>
      <w:pPr>
        <w:jc w:val="both"/>
      </w:pPr>
      <w:r/>
      <w:r/>
    </w:p>
    <w:p>
      <w:r/>
      <w:r/>
    </w:p>
    <w:p>
      <w:pPr>
        <w:tabs>
          <w:tab w:val="left" w:pos="7655" w:leader="none"/>
        </w:tabs>
      </w:pPr>
      <w:r>
        <w:t xml:space="preserve">Глава города Урай</w:t>
      </w:r>
      <w:r>
        <w:tab/>
        <w:t xml:space="preserve"> </w:t>
      </w:r>
      <w:r>
        <w:t xml:space="preserve">Т.Р.Закирзянов</w:t>
      </w:r>
      <w:r/>
    </w:p>
    <w:p>
      <w:r>
        <w:br w:type="page" w:clear="all"/>
      </w:r>
      <w:r/>
    </w:p>
    <w:p>
      <w:pPr>
        <w:jc w:val="both"/>
        <w:rPr>
          <w:rFonts w:eastAsiaTheme="minorHAnsi"/>
          <w:lang w:eastAsia="en-US"/>
        </w:rPr>
        <w:sectPr>
          <w:footnotePr/>
          <w:endnotePr/>
          <w:type w:val="nextPage"/>
          <w:pgSz w:w="11906" w:h="16838" w:orient="portrait"/>
          <w:pgMar w:top="1134" w:right="851" w:bottom="1418" w:left="1701" w:header="709" w:footer="709" w:gutter="0"/>
          <w:cols w:num="1" w:sep="0" w:space="708" w:equalWidth="1"/>
          <w:docGrid w:linePitch="360"/>
        </w:sectPr>
        <w:outlineLvl w:val="0"/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jc w:val="both"/>
        <w:rPr>
          <w:rFonts w:eastAsiaTheme="minorHAnsi"/>
          <w:lang w:eastAsia="en-US"/>
        </w:rPr>
        <w:outlineLvl w:val="0"/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jc w:val="right"/>
        <w:outlineLvl w:val="0"/>
      </w:pPr>
      <w:r>
        <w:t xml:space="preserve">Приложение к </w:t>
      </w:r>
      <w:r>
        <w:t xml:space="preserve">п</w:t>
      </w:r>
      <w:r>
        <w:t xml:space="preserve">остановлению </w:t>
      </w:r>
      <w:r/>
    </w:p>
    <w:p>
      <w:pPr>
        <w:jc w:val="right"/>
        <w:outlineLvl w:val="0"/>
      </w:pPr>
      <w:r>
        <w:t xml:space="preserve">администрации города Урай </w:t>
      </w:r>
      <w:r/>
    </w:p>
    <w:p>
      <w:pPr>
        <w:jc w:val="right"/>
        <w:outlineLvl w:val="0"/>
      </w:pPr>
      <w:r>
        <w:t xml:space="preserve">от </w:t>
      </w:r>
      <w:r>
        <w:t xml:space="preserve">_________ </w:t>
      </w:r>
      <w:r>
        <w:t xml:space="preserve">№</w:t>
      </w:r>
      <w:r>
        <w:t xml:space="preserve"> _______</w:t>
      </w:r>
      <w:r/>
    </w:p>
    <w:p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</w:r>
      <w:r>
        <w:rPr>
          <w:rFonts w:eastAsiaTheme="minorHAnsi"/>
          <w:b/>
          <w:bCs/>
          <w:lang w:eastAsia="en-US"/>
        </w:rPr>
      </w:r>
    </w:p>
    <w:p>
      <w:pPr>
        <w:jc w:val="center"/>
      </w:pPr>
      <w:r>
        <w:t xml:space="preserve">Ежемесячный </w:t>
      </w:r>
      <w:r>
        <w:t xml:space="preserve">размер платы за пользование жилым</w:t>
      </w:r>
      <w:r>
        <w:t xml:space="preserve">и</w:t>
      </w:r>
      <w:r>
        <w:t xml:space="preserve"> помещени</w:t>
      </w:r>
      <w:r>
        <w:t xml:space="preserve">ями</w:t>
      </w:r>
      <w:r>
        <w:t xml:space="preserve"> (платы за</w:t>
      </w:r>
      <w:r>
        <w:t xml:space="preserve"> наем) в </w:t>
      </w:r>
      <w:r>
        <w:t xml:space="preserve">городе</w:t>
      </w:r>
      <w:r>
        <w:t xml:space="preserve"> Урай </w:t>
      </w:r>
      <w:r/>
    </w:p>
    <w:p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4"/>
        <w:gridCol w:w="3833"/>
        <w:gridCol w:w="1309"/>
        <w:gridCol w:w="1701"/>
        <w:gridCol w:w="1701"/>
        <w:gridCol w:w="1417"/>
        <w:gridCol w:w="1668"/>
        <w:gridCol w:w="1843"/>
      </w:tblGrid>
      <w:tr>
        <w:tblPrEx/>
        <w:trPr/>
        <w:tc>
          <w:tcPr>
            <w:tcW w:w="62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r>
              <w:rPr>
                <w:rFonts w:eastAsiaTheme="minorHAnsi"/>
                <w:lang w:eastAsia="en-US"/>
              </w:rPr>
              <w:t xml:space="preserve">п</w:t>
            </w:r>
            <w:r>
              <w:rPr>
                <w:rFonts w:eastAsiaTheme="minorHAnsi"/>
                <w:lang w:eastAsia="en-US"/>
              </w:rPr>
              <w:t xml:space="preserve">/</w:t>
            </w:r>
            <w:r>
              <w:rPr>
                <w:rFonts w:eastAsiaTheme="minorHAnsi"/>
                <w:lang w:eastAsia="en-US"/>
              </w:rPr>
              <w:t xml:space="preserve">п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383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 жилых помещений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3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Единица изменения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gridSpan w:val="5"/>
            <w:tcW w:w="833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Ежемесячный размер платы*</w:t>
            </w:r>
            <w:r>
              <w:rPr>
                <w:rFonts w:eastAsiaTheme="minorHAnsi"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W w:w="62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383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3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 договорам социального найма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gridSpan w:val="3"/>
            <w:tcW w:w="4786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 договорам найма специализированных жилых помещений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 договорам найма </w:t>
            </w:r>
            <w:r>
              <w:rPr>
                <w:rFonts w:eastAsiaTheme="minorHAnsi"/>
                <w:lang w:eastAsia="en-US"/>
              </w:rPr>
              <w:t xml:space="preserve">жилых помещений </w:t>
            </w:r>
            <w:r>
              <w:rPr>
                <w:rFonts w:eastAsiaTheme="minorHAnsi"/>
                <w:lang w:eastAsia="en-US"/>
              </w:rPr>
              <w:t xml:space="preserve">коммерческого использования</w:t>
            </w:r>
            <w:r>
              <w:rPr>
                <w:rFonts w:eastAsiaTheme="minorHAnsi"/>
                <w:lang w:eastAsia="en-US"/>
              </w:rPr>
            </w:r>
          </w:p>
        </w:tc>
      </w:tr>
      <w:tr>
        <w:tblPrEx/>
        <w:trPr/>
        <w:tc>
          <w:tcPr>
            <w:tcW w:w="62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383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3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жилые помещения, кроме </w:t>
            </w:r>
            <w:r>
              <w:rPr>
                <w:rFonts w:eastAsiaTheme="minorHAnsi"/>
                <w:lang w:eastAsia="en-US"/>
              </w:rPr>
              <w:t xml:space="preserve">служебных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служебные жилые помещения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</w:t>
            </w:r>
            <w:r>
              <w:rPr>
                <w:rFonts w:eastAsiaTheme="minorHAnsi"/>
                <w:lang w:eastAsia="en-US"/>
              </w:rPr>
              <w:t xml:space="preserve">илые </w:t>
            </w:r>
            <w:r>
              <w:rPr>
                <w:rFonts w:eastAsiaTheme="minorHAnsi"/>
                <w:lang w:eastAsia="en-US"/>
              </w:rPr>
              <w:t xml:space="preserve">помещения, предоставляемые детям-сиротам и детям, оставшимся без попечения родителей</w:t>
            </w:r>
            <w:r>
              <w:rPr>
                <w:rFonts w:eastAsiaTheme="minorHAnsi"/>
                <w:lang w:eastAsia="en-US"/>
              </w:rPr>
              <w:t xml:space="preserve">, лицам из числа детей-сирот и детей, оставшихся без попечения родителей</w:t>
            </w:r>
            <w:r>
              <w:rPr>
                <w:rFonts w:eastAsiaTheme="minorHAnsi"/>
                <w:lang w:eastAsia="en-US"/>
              </w:rPr>
            </w:r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</w:r>
            <w:r>
              <w:rPr>
                <w:rFonts w:eastAsiaTheme="minorHAnsi"/>
                <w:lang w:eastAsia="en-US"/>
              </w:rPr>
            </w:r>
          </w:p>
        </w:tc>
      </w:tr>
      <w:tr>
        <w:tblPrEx/>
        <w:trPr/>
        <w:tc>
          <w:tcPr>
            <w:tcW w:w="62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3833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6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</w:t>
            </w:r>
            <w:r>
              <w:rPr>
                <w:rFonts w:eastAsiaTheme="minorHAnsi"/>
                <w:lang w:eastAsia="en-US"/>
              </w:rPr>
            </w:r>
          </w:p>
        </w:tc>
      </w:tr>
      <w:tr>
        <w:tblPrEx/>
        <w:trPr/>
        <w:tc>
          <w:tcPr>
            <w:tcW w:w="62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3833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Жилые помещения в домах деревянного исполнения, </w:t>
            </w:r>
            <w:r>
              <w:rPr>
                <w:rFonts w:eastAsiaTheme="minorHAnsi"/>
                <w:lang w:eastAsia="en-US"/>
              </w:rPr>
              <w:t xml:space="preserve">признанные непригодными или аварийными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руб./м</w:t>
            </w:r>
            <w:r>
              <w:rPr>
                <w:rFonts w:eastAsiaTheme="minorHAnsi"/>
                <w:vertAlign w:val="superscript"/>
                <w:lang w:eastAsia="en-US"/>
              </w:rPr>
              <w:t xml:space="preserve">2</w:t>
            </w:r>
            <w:r>
              <w:rPr>
                <w:rFonts w:eastAsiaTheme="minorHAnsi"/>
                <w:vertAlign w:val="superscript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 xml:space="preserve">2</w:t>
            </w:r>
            <w:r>
              <w:rPr>
                <w:rFonts w:eastAsiaTheme="minorHAnsi"/>
                <w:lang w:val="en-US" w:eastAsia="en-US"/>
              </w:rPr>
              <w:t xml:space="preserve">4</w:t>
            </w:r>
            <w:r>
              <w:rPr>
                <w:rFonts w:eastAsiaTheme="minorHAnsi"/>
                <w:lang w:eastAsia="en-US"/>
              </w:rPr>
              <w:t xml:space="preserve">,</w:t>
            </w:r>
            <w:r>
              <w:rPr>
                <w:rFonts w:eastAsiaTheme="minorHAnsi"/>
                <w:lang w:val="en-US" w:eastAsia="en-US"/>
              </w:rPr>
              <w:t xml:space="preserve">42</w:t>
            </w:r>
            <w:r>
              <w:rPr>
                <w:rFonts w:eastAsiaTheme="minorHAnsi"/>
                <w:lang w:val="en-US" w:eastAsia="en-US"/>
              </w:rPr>
            </w:r>
          </w:p>
        </w:tc>
      </w:tr>
      <w:tr>
        <w:tblPrEx/>
        <w:trPr/>
        <w:tc>
          <w:tcPr>
            <w:tcW w:w="62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3833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Жилые помещения в домах деревянного исполнения, </w:t>
            </w:r>
            <w:r>
              <w:rPr>
                <w:rFonts w:eastAsiaTheme="minorHAnsi"/>
                <w:lang w:eastAsia="en-US"/>
              </w:rPr>
              <w:t xml:space="preserve">не признанные непригодными или аварийными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руб./м</w:t>
            </w:r>
            <w:r>
              <w:rPr>
                <w:rFonts w:eastAsiaTheme="minorHAnsi"/>
                <w:vertAlign w:val="superscript"/>
                <w:lang w:eastAsia="en-US"/>
              </w:rPr>
              <w:t xml:space="preserve">2</w:t>
            </w:r>
            <w:r>
              <w:rPr>
                <w:rFonts w:eastAsiaTheme="minorHAnsi"/>
                <w:vertAlign w:val="superscript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4,04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 xml:space="preserve">4,04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 xml:space="preserve">2</w:t>
            </w:r>
            <w:r>
              <w:rPr>
                <w:rFonts w:eastAsiaTheme="minorHAnsi"/>
                <w:lang w:eastAsia="en-US"/>
              </w:rPr>
              <w:t xml:space="preserve">5,13</w:t>
            </w:r>
            <w:r>
              <w:rPr>
                <w:rFonts w:eastAsiaTheme="minorHAnsi"/>
                <w:lang w:val="en-US" w:eastAsia="en-US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41,46</w:t>
            </w:r>
            <w:r>
              <w:rPr>
                <w:rFonts w:eastAsiaTheme="minorHAnsi"/>
                <w:lang w:eastAsia="en-US"/>
              </w:rPr>
            </w:r>
          </w:p>
        </w:tc>
      </w:tr>
      <w:tr>
        <w:tblPrEx/>
        <w:trPr/>
        <w:tc>
          <w:tcPr>
            <w:tcW w:w="62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3833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Жилые помещения в домах деревянного исполнения, </w:t>
            </w:r>
            <w:r>
              <w:rPr>
                <w:rFonts w:eastAsiaTheme="minorHAnsi"/>
                <w:lang w:eastAsia="en-US"/>
              </w:rPr>
              <w:t xml:space="preserve">введенные в эксплуатацию после 2010 года</w:t>
            </w:r>
            <w:r>
              <w:rPr>
                <w:rFonts w:eastAsiaTheme="minorHAnsi"/>
                <w:highlight w:val="green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руб./м</w:t>
            </w:r>
            <w:r>
              <w:rPr>
                <w:rFonts w:eastAsiaTheme="minorHAnsi"/>
                <w:vertAlign w:val="superscript"/>
                <w:lang w:eastAsia="en-US"/>
              </w:rPr>
              <w:t xml:space="preserve">2</w:t>
            </w:r>
            <w:r>
              <w:rPr>
                <w:rFonts w:eastAsiaTheme="minorHAnsi"/>
                <w:vertAlign w:val="superscript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10,23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10,23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</w:t>
            </w:r>
            <w:r>
              <w:rPr>
                <w:rFonts w:eastAsiaTheme="minorHAnsi"/>
                <w:lang w:eastAsia="en-US"/>
              </w:rPr>
              <w:t xml:space="preserve">1</w:t>
            </w:r>
            <w:r>
              <w:rPr>
                <w:rFonts w:eastAsiaTheme="minorHAnsi"/>
                <w:lang w:eastAsia="en-US"/>
              </w:rPr>
              <w:t xml:space="preserve">,</w:t>
            </w:r>
            <w:r>
              <w:rPr>
                <w:rFonts w:eastAsiaTheme="minorHAnsi"/>
                <w:lang w:eastAsia="en-US"/>
              </w:rPr>
              <w:t xml:space="preserve">46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48,10</w:t>
            </w:r>
            <w:r>
              <w:rPr>
                <w:rFonts w:eastAsiaTheme="minorHAnsi"/>
                <w:lang w:eastAsia="en-US"/>
              </w:rPr>
            </w:r>
          </w:p>
        </w:tc>
      </w:tr>
      <w:tr>
        <w:tblPrEx/>
        <w:trPr/>
        <w:tc>
          <w:tcPr>
            <w:tcW w:w="62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3833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Жилые помещения в домах построенных по технологии ЛСТК (легкие стальные тонкостенные конструкции)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руб./м</w:t>
            </w:r>
            <w:r>
              <w:rPr>
                <w:rFonts w:eastAsiaTheme="minorHAnsi"/>
                <w:vertAlign w:val="superscript"/>
                <w:lang w:eastAsia="en-US"/>
              </w:rPr>
              <w:t xml:space="preserve">2</w:t>
            </w:r>
            <w:r>
              <w:rPr>
                <w:rFonts w:eastAsiaTheme="minorHAnsi"/>
                <w:vertAlign w:val="superscript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52,19</w:t>
            </w:r>
            <w:r>
              <w:rPr>
                <w:rFonts w:eastAsiaTheme="minorHAnsi"/>
                <w:lang w:eastAsia="en-US"/>
              </w:rPr>
            </w:r>
          </w:p>
        </w:tc>
      </w:tr>
      <w:tr>
        <w:tblPrEx/>
        <w:trPr/>
        <w:tc>
          <w:tcPr>
            <w:tcW w:w="62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3833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Жилые помещения в домах кирпичного, блочного, монолитного и панельного исполнения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руб./м</w:t>
            </w:r>
            <w:r>
              <w:rPr>
                <w:rFonts w:eastAsiaTheme="minorHAnsi"/>
                <w:vertAlign w:val="superscript"/>
                <w:lang w:eastAsia="en-US"/>
              </w:rPr>
              <w:t xml:space="preserve">2</w:t>
            </w:r>
            <w:r>
              <w:rPr>
                <w:rFonts w:eastAsiaTheme="minorHAnsi"/>
                <w:vertAlign w:val="superscript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16,31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16,31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</w:t>
            </w:r>
            <w:r>
              <w:rPr>
                <w:rFonts w:eastAsiaTheme="minorHAnsi"/>
                <w:lang w:eastAsia="en-US"/>
              </w:rPr>
              <w:t xml:space="preserve">8</w:t>
            </w:r>
            <w:r>
              <w:rPr>
                <w:rFonts w:eastAsiaTheme="minorHAnsi"/>
                <w:lang w:eastAsia="en-US"/>
              </w:rPr>
              <w:t xml:space="preserve">,</w:t>
            </w:r>
            <w:r>
              <w:rPr>
                <w:rFonts w:eastAsiaTheme="minorHAnsi"/>
                <w:lang w:eastAsia="en-US"/>
              </w:rPr>
              <w:t xml:space="preserve">68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2,</w:t>
            </w:r>
            <w:r>
              <w:rPr>
                <w:rFonts w:eastAsiaTheme="minorHAnsi"/>
                <w:lang w:eastAsia="en-US"/>
              </w:rPr>
              <w:t xml:space="preserve">55</w:t>
            </w:r>
            <w:r>
              <w:rPr>
                <w:rFonts w:eastAsiaTheme="minorHAnsi"/>
                <w:lang w:eastAsia="en-US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</w:t>
            </w:r>
            <w:r>
              <w:rPr>
                <w:rFonts w:eastAsiaTheme="minorHAnsi"/>
                <w:lang w:eastAsia="en-US"/>
              </w:rPr>
              <w:t xml:space="preserve">4</w:t>
            </w:r>
            <w:r>
              <w:rPr>
                <w:rFonts w:eastAsiaTheme="minorHAnsi"/>
                <w:lang w:eastAsia="en-US"/>
              </w:rPr>
              <w:t xml:space="preserve">,</w:t>
            </w:r>
            <w:r>
              <w:rPr>
                <w:rFonts w:eastAsiaTheme="minorHAnsi"/>
                <w:lang w:eastAsia="en-US"/>
              </w:rPr>
              <w:t xml:space="preserve">07</w:t>
            </w:r>
            <w:r>
              <w:rPr>
                <w:rFonts w:eastAsiaTheme="minorHAnsi"/>
                <w:lang w:eastAsia="en-US"/>
              </w:rPr>
            </w:r>
          </w:p>
        </w:tc>
      </w:tr>
    </w:tbl>
    <w:p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jc w:val="both"/>
        <w:spacing w:before="2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 </w:t>
      </w:r>
      <w:r>
        <w:rPr>
          <w:rFonts w:eastAsiaTheme="minorHAnsi"/>
          <w:lang w:eastAsia="en-US"/>
        </w:rPr>
        <w:t xml:space="preserve">е</w:t>
      </w:r>
      <w:r>
        <w:rPr>
          <w:rFonts w:eastAsiaTheme="minorHAnsi"/>
          <w:lang w:eastAsia="en-US"/>
        </w:rPr>
        <w:t xml:space="preserve">жемесячный размер платы рассчитан исходя из средней цены 1 </w:t>
      </w:r>
      <w:r>
        <w:rPr>
          <w:rFonts w:eastAsiaTheme="minorHAnsi"/>
          <w:lang w:eastAsia="en-US"/>
        </w:rPr>
        <w:t xml:space="preserve">м</w:t>
      </w:r>
      <w:r>
        <w:rPr>
          <w:rFonts w:eastAsiaTheme="minorHAnsi"/>
          <w:vertAlign w:val="superscript"/>
          <w:lang w:eastAsia="en-US"/>
        </w:rPr>
        <w:t xml:space="preserve">2</w:t>
      </w:r>
      <w:r>
        <w:rPr>
          <w:rFonts w:eastAsiaTheme="minorHAnsi"/>
          <w:lang w:eastAsia="en-US"/>
        </w:rPr>
        <w:t xml:space="preserve"> общей площади квартир на вторичном рынке жилья в Ханты-Мансийском автономном округе - </w:t>
      </w:r>
      <w:r>
        <w:rPr>
          <w:rFonts w:eastAsiaTheme="minorHAnsi"/>
          <w:lang w:eastAsia="en-US"/>
        </w:rPr>
        <w:t xml:space="preserve">Югре</w:t>
      </w:r>
      <w:r>
        <w:rPr>
          <w:rFonts w:eastAsiaTheme="minorHAnsi"/>
          <w:lang w:eastAsia="en-US"/>
        </w:rPr>
        <w:t xml:space="preserve"> за </w:t>
      </w:r>
      <w:r>
        <w:rPr>
          <w:rFonts w:eastAsiaTheme="minorHAnsi"/>
          <w:lang w:eastAsia="en-US"/>
        </w:rPr>
        <w:t xml:space="preserve">4</w:t>
      </w:r>
      <w:r>
        <w:rPr>
          <w:rFonts w:eastAsiaTheme="minorHAnsi"/>
          <w:lang w:eastAsia="en-US"/>
        </w:rPr>
        <w:t xml:space="preserve"> квартал 202</w:t>
      </w:r>
      <w:r>
        <w:rPr>
          <w:rFonts w:eastAsiaTheme="minorHAnsi"/>
          <w:lang w:eastAsia="en-US"/>
        </w:rPr>
        <w:t xml:space="preserve">3</w:t>
      </w:r>
      <w:r>
        <w:rPr>
          <w:rFonts w:eastAsiaTheme="minorHAnsi"/>
          <w:lang w:eastAsia="en-US"/>
        </w:rPr>
        <w:t xml:space="preserve"> года</w:t>
      </w:r>
      <w:r>
        <w:rPr>
          <w:rFonts w:eastAsiaTheme="minorHAnsi"/>
          <w:lang w:eastAsia="en-US"/>
        </w:rPr>
        <w:t xml:space="preserve">; </w:t>
      </w:r>
      <w:r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соответствии с </w:t>
      </w:r>
      <w:hyperlink r:id="rId14" w:tooltip="consultantplus://offline/ref=7B78BFBFD9CFD249231ADA8E7D8FDCD06C050CE7DA2AA7C9EDC5CA60F07BE351F54FEA33CC2B6EB72CB89BED4600704CF0B76FF44583CBFEb2G0L" w:history="1">
        <w:r>
          <w:rPr>
            <w:rFonts w:eastAsiaTheme="minorHAnsi"/>
            <w:lang w:eastAsia="en-US"/>
          </w:rPr>
          <w:t xml:space="preserve">подпунктом 10 пункта 2 статьи 149 главы 21</w:t>
        </w:r>
      </w:hyperlink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«</w:t>
      </w:r>
      <w:r>
        <w:rPr>
          <w:rFonts w:eastAsiaTheme="minorHAnsi"/>
          <w:lang w:eastAsia="en-US"/>
        </w:rPr>
        <w:t xml:space="preserve">Налог на добавленную стоимость</w:t>
      </w:r>
      <w:r>
        <w:rPr>
          <w:rFonts w:eastAsiaTheme="minorHAnsi"/>
          <w:lang w:eastAsia="en-US"/>
        </w:rPr>
        <w:t xml:space="preserve">»</w:t>
      </w:r>
      <w:r>
        <w:rPr>
          <w:rFonts w:eastAsiaTheme="minorHAnsi"/>
          <w:lang w:eastAsia="en-US"/>
        </w:rPr>
        <w:t xml:space="preserve"> Налогового кодекса Российской Федерации предоставление в пользование жилых помещений освобождается от налогообложения</w:t>
      </w:r>
      <w:r>
        <w:rPr>
          <w:rFonts w:eastAsiaTheme="minorHAnsi"/>
          <w:lang w:eastAsia="en-US"/>
        </w:rPr>
        <w:t xml:space="preserve"> налогом на добавленную стоимость.</w:t>
      </w:r>
      <w:r>
        <w:rPr>
          <w:rFonts w:eastAsiaTheme="minorHAnsi"/>
          <w:lang w:eastAsia="en-US"/>
        </w:rPr>
      </w:r>
    </w:p>
    <w:sectPr>
      <w:footnotePr/>
      <w:endnotePr/>
      <w:type w:val="nextPage"/>
      <w:pgSz w:w="16838" w:h="11906" w:orient="landscape"/>
      <w:pgMar w:top="851" w:right="1418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40" w:hanging="360"/>
      </w:pPr>
      <w:rPr>
        <w:rFonts w:hint="default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3" w:hanging="79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4" w:hanging="1215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2"/>
    <w:link w:val="641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0"/>
    <w:next w:val="64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4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0"/>
    <w:next w:val="64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0"/>
    <w:next w:val="64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0"/>
    <w:next w:val="64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0"/>
    <w:next w:val="64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0"/>
    <w:next w:val="64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0"/>
    <w:next w:val="64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0"/>
    <w:next w:val="64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2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42"/>
    <w:link w:val="646"/>
    <w:uiPriority w:val="10"/>
    <w:rPr>
      <w:sz w:val="48"/>
      <w:szCs w:val="48"/>
    </w:rPr>
  </w:style>
  <w:style w:type="paragraph" w:styleId="36">
    <w:name w:val="Subtitle"/>
    <w:basedOn w:val="640"/>
    <w:next w:val="64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2"/>
    <w:link w:val="36"/>
    <w:uiPriority w:val="11"/>
    <w:rPr>
      <w:sz w:val="24"/>
      <w:szCs w:val="24"/>
    </w:rPr>
  </w:style>
  <w:style w:type="paragraph" w:styleId="38">
    <w:name w:val="Quote"/>
    <w:basedOn w:val="640"/>
    <w:next w:val="64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0"/>
    <w:next w:val="64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2"/>
    <w:link w:val="42"/>
    <w:uiPriority w:val="99"/>
  </w:style>
  <w:style w:type="paragraph" w:styleId="44">
    <w:name w:val="Footer"/>
    <w:basedOn w:val="64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2"/>
    <w:link w:val="44"/>
    <w:uiPriority w:val="99"/>
  </w:style>
  <w:style w:type="paragraph" w:styleId="46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2"/>
    <w:uiPriority w:val="99"/>
    <w:unhideWhenUsed/>
    <w:rPr>
      <w:vertAlign w:val="superscript"/>
    </w:rPr>
  </w:style>
  <w:style w:type="paragraph" w:styleId="178">
    <w:name w:val="endnote text"/>
    <w:basedOn w:val="64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2"/>
    <w:uiPriority w:val="99"/>
    <w:semiHidden/>
    <w:unhideWhenUsed/>
    <w:rPr>
      <w:vertAlign w:val="superscript"/>
    </w:rPr>
  </w:style>
  <w:style w:type="paragraph" w:styleId="181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0"/>
    <w:next w:val="640"/>
    <w:uiPriority w:val="99"/>
    <w:unhideWhenUsed/>
    <w:pPr>
      <w:spacing w:after="0" w:afterAutospacing="0"/>
    </w:pPr>
  </w:style>
  <w:style w:type="paragraph" w:styleId="64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1">
    <w:name w:val="Heading 1"/>
    <w:basedOn w:val="640"/>
    <w:next w:val="640"/>
    <w:link w:val="645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642" w:default="1">
    <w:name w:val="Default Paragraph Font"/>
    <w:uiPriority w:val="1"/>
    <w:semiHidden/>
    <w:unhideWhenUsed/>
  </w:style>
  <w:style w:type="table" w:styleId="64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4" w:default="1">
    <w:name w:val="No List"/>
    <w:uiPriority w:val="99"/>
    <w:semiHidden/>
    <w:unhideWhenUsed/>
  </w:style>
  <w:style w:type="character" w:styleId="645" w:customStyle="1">
    <w:name w:val="Заголовок 1 Знак"/>
    <w:basedOn w:val="642"/>
    <w:link w:val="641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646">
    <w:name w:val="Title"/>
    <w:basedOn w:val="640"/>
    <w:next w:val="640"/>
    <w:link w:val="647"/>
    <w:qFormat/>
    <w:pPr>
      <w:jc w:val="center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647" w:customStyle="1">
    <w:name w:val="Название Знак"/>
    <w:basedOn w:val="642"/>
    <w:link w:val="646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648">
    <w:name w:val="Body Text Indent"/>
    <w:basedOn w:val="640"/>
    <w:link w:val="649"/>
    <w:pPr>
      <w:ind w:left="252" w:hanging="252"/>
    </w:pPr>
  </w:style>
  <w:style w:type="character" w:styleId="649" w:customStyle="1">
    <w:name w:val="Основной текст с отступом Знак"/>
    <w:basedOn w:val="642"/>
    <w:link w:val="64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0">
    <w:name w:val="Balloon Text"/>
    <w:basedOn w:val="640"/>
    <w:link w:val="651"/>
    <w:uiPriority w:val="99"/>
    <w:semiHidden/>
    <w:unhideWhenUsed/>
    <w:rPr>
      <w:rFonts w:ascii="Tahoma" w:hAnsi="Tahoma" w:cs="Tahoma"/>
      <w:sz w:val="16"/>
      <w:szCs w:val="16"/>
    </w:rPr>
  </w:style>
  <w:style w:type="character" w:styleId="651" w:customStyle="1">
    <w:name w:val="Текст выноски Знак"/>
    <w:basedOn w:val="642"/>
    <w:link w:val="650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52">
    <w:name w:val="List Paragraph"/>
    <w:basedOn w:val="640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after="0" w:line="240" w:lineRule="auto"/>
    </w:pPr>
  </w:style>
  <w:style w:type="paragraph" w:styleId="654">
    <w:name w:val="Body Text 3"/>
    <w:basedOn w:val="640"/>
    <w:link w:val="655"/>
    <w:unhideWhenUsed/>
    <w:pPr>
      <w:spacing w:after="120"/>
    </w:pPr>
    <w:rPr>
      <w:sz w:val="16"/>
      <w:szCs w:val="16"/>
    </w:rPr>
  </w:style>
  <w:style w:type="character" w:styleId="655" w:customStyle="1">
    <w:name w:val="Основной текст 3 Знак"/>
    <w:basedOn w:val="642"/>
    <w:link w:val="654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656" w:customStyle="1">
    <w:name w:val="ConsPlusNormal"/>
    <w:pPr>
      <w:ind w:firstLine="72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table" w:styleId="657">
    <w:name w:val="Table Grid"/>
    <w:basedOn w:val="6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consultantplus://offline/ref=875176BDDFEBC0AEA95EC53D7ACAEEB8DB9AAE56EA1CDA31A415E671DD6AEDC6490868F54B73D43C3C51FBEF10EC955268723A6550717639m4i3H" TargetMode="External"/><Relationship Id="rId11" Type="http://schemas.openxmlformats.org/officeDocument/2006/relationships/hyperlink" Target="consultantplus://offline/ref=875176BDDFEBC0AEA95EC53D7ACAEEB8DB98AB5AE016DA31A415E671DD6AEDC65B0830F94971CE353344ADBE56mBiBH" TargetMode="External"/><Relationship Id="rId12" Type="http://schemas.openxmlformats.org/officeDocument/2006/relationships/hyperlink" Target="consultantplus://offline/ref=875176BDDFEBC0AEA95EC53D7ACAEEB8DD9AAD57E31CDA31A415E671DD6AEDC6490868F54B72D0343051FBEF10EC955268723A6550717639m4i3H" TargetMode="External"/><Relationship Id="rId13" Type="http://schemas.openxmlformats.org/officeDocument/2006/relationships/hyperlink" Target="consultantplus://offline/ref=B022CC1CD966637F379B5C32394C70A167FD81BFA90362BABC36E0ACAC10810519A833171F6C78AD5862D8AA663182583Ah4j1J" TargetMode="External"/><Relationship Id="rId14" Type="http://schemas.openxmlformats.org/officeDocument/2006/relationships/hyperlink" Target="consultantplus://offline/ref=7B78BFBFD9CFD249231ADA8E7D8FDCD06C050CE7DA2AA7C9EDC5CA60F07BE351F54FEA33CC2B6EB72CB89BED4600704CF0B76FF44583CBFEb2G0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8</cp:revision>
  <dcterms:created xsi:type="dcterms:W3CDTF">2022-10-14T04:51:00Z</dcterms:created>
  <dcterms:modified xsi:type="dcterms:W3CDTF">2024-02-14T05:01:37Z</dcterms:modified>
</cp:coreProperties>
</file>