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87400"/>
                <wp:effectExtent l="19050" t="0" r="5080" b="0"/>
                <wp:docPr id="1" name="Рисунок 1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452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60pt;height:62.00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i/>
        </w:rPr>
      </w:pPr>
      <w:r>
        <w:rPr>
          <w:b/>
        </w:rPr>
        <w:t xml:space="preserve">ГОРОД</w:t>
      </w:r>
      <w:r>
        <w:rPr>
          <w:b/>
        </w:rPr>
        <w:t xml:space="preserve">СКОЙ ОКРУГ</w:t>
      </w:r>
      <w:r>
        <w:rPr>
          <w:b/>
        </w:rPr>
        <w:t xml:space="preserve"> УРАЙ</w:t>
      </w:r>
      <w:r>
        <w:rPr>
          <w:b/>
          <w:i/>
        </w:rPr>
      </w:r>
    </w:p>
    <w:p>
      <w:pPr>
        <w:jc w:val="center"/>
        <w:rPr>
          <w:b/>
        </w:rPr>
      </w:pPr>
      <w:r>
        <w:rPr>
          <w:b/>
        </w:rPr>
        <w:t xml:space="preserve">Ханты-Мансийск</w:t>
      </w:r>
      <w:r>
        <w:rPr>
          <w:b/>
        </w:rPr>
        <w:t xml:space="preserve">ого</w:t>
      </w:r>
      <w:r>
        <w:rPr>
          <w:b/>
        </w:rPr>
        <w:t xml:space="preserve"> автономн</w:t>
      </w:r>
      <w:r>
        <w:rPr>
          <w:b/>
        </w:rPr>
        <w:t xml:space="preserve">ого</w:t>
      </w:r>
      <w:r>
        <w:rPr>
          <w:b/>
        </w:rPr>
        <w:t xml:space="preserve"> </w:t>
      </w:r>
      <w:r>
        <w:rPr>
          <w:b/>
        </w:rPr>
        <w:t xml:space="preserve">округ</w:t>
      </w:r>
      <w:r>
        <w:rPr>
          <w:b/>
        </w:rPr>
        <w:t xml:space="preserve">а</w:t>
      </w:r>
      <w:r>
        <w:rPr>
          <w:b/>
        </w:rPr>
        <w:t xml:space="preserve">-Югр</w:t>
      </w:r>
      <w:r>
        <w:rPr>
          <w:b/>
        </w:rPr>
        <w:t xml:space="preserve">а</w:t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АДМИНИСТРАЦИЯ ГОРОДА УРАЙ</w:t>
      </w:r>
      <w:r>
        <w:rPr>
          <w:b/>
          <w:sz w:val="40"/>
          <w:szCs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jc w:val="both"/>
      </w:pPr>
      <w:r/>
      <w:r/>
    </w:p>
    <w:p>
      <w:pPr>
        <w:jc w:val="both"/>
      </w:pPr>
      <w:r>
        <w:t xml:space="preserve">от_______________                                                                                       </w:t>
      </w:r>
      <w:r>
        <w:t xml:space="preserve">            </w:t>
      </w:r>
      <w:r>
        <w:t xml:space="preserve"> №_________</w:t>
      </w:r>
      <w:r/>
    </w:p>
    <w:p>
      <w:pPr>
        <w:jc w:val="both"/>
      </w:pPr>
      <w:r>
        <w:t xml:space="preserve"> </w:t>
      </w:r>
      <w:r/>
    </w:p>
    <w:p>
      <w:pPr>
        <w:jc w:val="both"/>
      </w:pPr>
      <w:r/>
      <w:r/>
    </w:p>
    <w:p>
      <w:pPr>
        <w:ind w:left="0" w:right="4251" w:firstLine="0"/>
        <w:jc w:val="left"/>
      </w:pPr>
      <w:r>
        <w:t xml:space="preserve">О</w:t>
      </w:r>
      <w:r>
        <w:t xml:space="preserve"> внесении изменений в постановление </w:t>
      </w:r>
      <w:r/>
      <w:r>
        <w:t xml:space="preserve">администрации города Урай от 17.02.2023 №316 </w:t>
      </w:r>
      <w:r>
        <w:rPr>
          <w:rFonts w:eastAsiaTheme="minorHAnsi"/>
          <w:lang w:eastAsia="en-US"/>
        </w:rPr>
      </w:r>
      <w:r/>
      <w:r>
        <w:t xml:space="preserve">«Об утверждении Порядка </w:t>
      </w:r>
      <w:r>
        <w:t xml:space="preserve">составления и утверждения отчета о результатах деятельности муниципального учреждения городского округа Урай Ханты-Мансийского автономного округа - </w:t>
      </w:r>
      <w:r>
        <w:t xml:space="preserve">Югры</w:t>
      </w:r>
      <w:r>
        <w:t xml:space="preserve"> и об использовании закрепленного за ним муниципального имущества</w:t>
      </w:r>
      <w:r/>
      <w:r>
        <w:rPr>
          <w:rFonts w:eastAsiaTheme="minorHAnsi"/>
          <w:lang w:eastAsia="en-US"/>
        </w:rPr>
      </w:r>
      <w:r>
        <w:t xml:space="preserve">»</w:t>
      </w:r>
      <w:r/>
    </w:p>
    <w:p>
      <w:pPr>
        <w:jc w:val="both"/>
      </w:pPr>
      <w:r/>
      <w:r/>
    </w:p>
    <w:p>
      <w:pPr>
        <w:ind w:firstLine="709"/>
        <w:jc w:val="both"/>
        <w:spacing w:before="0" w:beforeAutospacing="0" w:line="240" w:lineRule="auto"/>
        <w:rPr>
          <w:rFonts w:eastAsiaTheme="minorHAnsi"/>
        </w:rPr>
        <w:suppressLineNumbers w:val="0"/>
      </w:pPr>
      <w:r>
        <w:t xml:space="preserve">В соответствии с</w:t>
      </w:r>
      <w:r>
        <w:t xml:space="preserve"> подпунктом 10 пункта 3.3</w:t>
      </w:r>
      <w:r>
        <w:t xml:space="preserve"> </w:t>
      </w:r>
      <w:hyperlink r:id="rId11" w:tooltip="https://login.consultant.ru/link/?req=doc&amp;base=LAW&amp;n=422346&amp;date=07.02.2023&amp;dst=310&amp;field=134" w:history="1">
        <w:r>
          <w:t xml:space="preserve">стать</w:t>
        </w:r>
        <w:r>
          <w:t xml:space="preserve">и</w:t>
        </w:r>
        <w:r>
          <w:t xml:space="preserve"> 32</w:t>
        </w:r>
      </w:hyperlink>
      <w:r>
        <w:t xml:space="preserve"> Федерального закона от 12.01.1996 №7-ФЗ «О некоммерческих организациях», Федеральн</w:t>
      </w:r>
      <w:r>
        <w:t xml:space="preserve">ым</w:t>
      </w:r>
      <w:r>
        <w:t xml:space="preserve"> закон</w:t>
      </w:r>
      <w:r>
        <w:t xml:space="preserve">ом</w:t>
      </w:r>
      <w:r>
        <w:t xml:space="preserve"> от 03.11.2006 №174-ФЗ «Об автономных учреждениях», на основании</w:t>
      </w:r>
      <w:r/>
      <w:hyperlink r:id="rId12" w:tooltip="https://login.consultant.ru/link/?req=doc&amp;base=LAW&amp;n=71975&amp;date=07.02.2023&amp;dst=100009&amp;field=134" w:history="1">
        <w:r>
          <w:t xml:space="preserve"> Правил</w:t>
        </w:r>
      </w:hyperlink>
      <w:r>
        <w:t xml:space="preserve"> </w:t>
      </w:r>
      <w:r>
        <w:t xml:space="preserve">опубликования отчетов о деятельности автономного учреждения и об использовании закрепленного за ним имущества, утвержденных </w:t>
      </w:r>
      <w:r>
        <w:t xml:space="preserve">п</w:t>
      </w:r>
      <w:r>
        <w:t xml:space="preserve">остановлением Правительства Российской</w:t>
      </w:r>
      <w:r>
        <w:t xml:space="preserve"> Федерации от 18.10.2007 </w:t>
      </w:r>
      <w:r>
        <w:t xml:space="preserve">№</w:t>
      </w:r>
      <w:r>
        <w:t xml:space="preserve">684, </w:t>
      </w:r>
      <w:r>
        <w:t xml:space="preserve">Общих </w:t>
      </w:r>
      <w:hyperlink r:id="rId13" w:tooltip="https://login.consultant.ru/link/?req=doc&amp;base=LAW&amp;n=327823&amp;date=07.02.2023&amp;dst=100010&amp;field=134" w:history="1">
        <w:r>
          <w:t xml:space="preserve">требований</w:t>
        </w:r>
      </w:hyperlink>
      <w:r>
        <w:t xml:space="preserve"> </w:t>
      </w:r>
      <w:r>
        <w:t xml:space="preserve"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утвержденных </w:t>
      </w:r>
      <w:r>
        <w:t xml:space="preserve">п</w:t>
      </w:r>
      <w:r>
        <w:t xml:space="preserve">риказом Министерства финансов Российской Федерации от 02.11.2021 </w:t>
      </w:r>
      <w:r>
        <w:t xml:space="preserve">№</w:t>
      </w:r>
      <w:r>
        <w:t xml:space="preserve">171н</w:t>
      </w:r>
      <w:r>
        <w:rPr>
          <w:rFonts w:eastAsiaTheme="minorHAnsi"/>
          <w:lang w:eastAsia="en-US"/>
        </w:rPr>
        <w:t xml:space="preserve">:</w:t>
      </w:r>
      <w:r>
        <w:rPr>
          <w:rFonts w:eastAsiaTheme="minorHAnsi"/>
        </w:rPr>
      </w:r>
    </w:p>
    <w:p>
      <w:pPr>
        <w:ind w:firstLine="709"/>
        <w:jc w:val="both"/>
        <w:spacing w:before="0" w:beforeAutospacing="0" w:line="240" w:lineRule="auto"/>
        <w:suppressLineNumbers w:val="0"/>
      </w:pPr>
      <w:r>
        <w:rPr>
          <w:rFonts w:eastAsiaTheme="minorHAnsi"/>
          <w:lang w:eastAsia="en-US"/>
        </w:rPr>
        <w:t xml:space="preserve">1. </w:t>
      </w:r>
      <w:r>
        <w:t xml:space="preserve">Внести</w:t>
      </w:r>
      <w:r>
        <w:t xml:space="preserve"> и</w:t>
      </w:r>
      <w:r>
        <w:t xml:space="preserve">зменения в</w:t>
      </w:r>
      <w:r>
        <w:t xml:space="preserve"> </w:t>
      </w:r>
      <w:hyperlink w:tooltip="ПОРЯДОК" w:anchor="Par34" w:history="1">
        <w:r>
          <w:t xml:space="preserve">Поряд</w:t>
        </w:r>
        <w:r>
          <w:t xml:space="preserve">о</w:t>
        </w:r>
        <w:r>
          <w:t xml:space="preserve">к</w:t>
        </w:r>
      </w:hyperlink>
      <w:r>
        <w:t xml:space="preserve"> составления и утверждения отчета о результатах деятельности муниципального учреждения городского округа Урай Ханты-Мансийского автономного округа - </w:t>
      </w:r>
      <w:r>
        <w:t xml:space="preserve">Югры</w:t>
      </w:r>
      <w:r>
        <w:t xml:space="preserve"> и об использовании закрепленного за ним муниципального имущества, утвержденный постановлением администрации города Урай от 17.02.2023 № 316:</w:t>
      </w:r>
      <w:r/>
    </w:p>
    <w:p>
      <w:pPr>
        <w:ind w:firstLine="709"/>
        <w:jc w:val="both"/>
        <w:spacing w:before="0" w:beforeAutospacing="0" w:line="240" w:lineRule="auto"/>
        <w:suppressLineNumbers w:val="0"/>
      </w:pPr>
      <w:r>
        <w:t xml:space="preserve">1.1. П</w:t>
      </w:r>
      <w:r>
        <w:t xml:space="preserve">ункт 7: </w:t>
      </w:r>
      <w:r/>
    </w:p>
    <w:p>
      <w:pPr>
        <w:ind w:firstLine="709"/>
        <w:jc w:val="both"/>
        <w:spacing w:before="0" w:beforeAutospacing="0" w:line="240" w:lineRule="auto"/>
        <w:suppressLineNumbers w:val="0"/>
      </w:pPr>
      <w:r>
        <w:t xml:space="preserve">1.1.1. Дополнить подпунктом 7.1.1 следующего содержания:</w:t>
      </w:r>
      <w:r/>
    </w:p>
    <w:p>
      <w:pPr>
        <w:ind w:firstLine="709"/>
        <w:jc w:val="both"/>
        <w:spacing w:before="0" w:beforeAutospacing="0" w:line="240" w:lineRule="auto"/>
        <w:suppressLineNumbers w:val="0"/>
      </w:pPr>
      <w:r>
        <w:t xml:space="preserve">«7.1.1. Сведения о поступлениях и выплатах учреждения, формируемые бюджетными и автономными учреждениями.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В сведениях о поступлениях и выплатах учреждения должна отражаться информация об объеме поступлений за отчетный финансовый год и год, предшествующий </w:t>
      </w:r>
      <w:r>
        <w:t xml:space="preserve">отчетному</w:t>
      </w:r>
      <w:r>
        <w:t xml:space="preserve">, и выплат за отчетный финансовый год.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Информация о поступлениях формируется с указанием: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поступлений из бюджетов бюджетной системы Российской Федерации, включая субсидии на финансовое обеспечение выполнения муниципального задания, субсидии, предоставляемые в соответствии с </w:t>
      </w:r>
      <w:hyperlink r:id="rId14" w:tooltip="https://login.consultant.ru/link/?req=doc&amp;base=LAW&amp;n=465808&amp;dst=3146&amp;field=134&amp;date=22.01.2024" w:history="1">
        <w:r>
          <w:rPr>
            <w:rStyle w:val="664"/>
            <w:rFonts w:eastAsia="Calibri"/>
            <w:color w:val="auto"/>
            <w:u w:val="none"/>
          </w:rPr>
          <w:t xml:space="preserve">абзацем вторым пункта 1 статьи 78.1</w:t>
        </w:r>
      </w:hyperlink>
      <w:r>
        <w:t xml:space="preserve"> Бюджетного кодекса Российской Федера</w:t>
      </w:r>
      <w:r>
        <w:t xml:space="preserve">ции, субсидии на осуществление капитальных вложений, гранты в форме субсидий, с обособлением информации об объемах предоставленных учреждению грантов в форме субсидий, предоставленных соответственно из федерального бюджета, из бюджетов субъектов Российской</w:t>
      </w:r>
      <w:r>
        <w:t xml:space="preserve"> Федерации и местных бюджетов;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поступлений в форме грантов, предоставляемых юридич</w:t>
      </w:r>
      <w:r>
        <w:t xml:space="preserve">ескими и физическими лицами (за исключением грантов в форме субсидий, предоставляемых из бюджетов бюджетной системы Российской Федерации), пожертвований и иных безвозмездных перечислений от физических и юридических лиц, в том числе иностранных организаций;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поступлений от приносящей доход деятельности, компенсации затрат, с обособлением информации: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доходов в виде платы за оказание услуг (выполн</w:t>
      </w:r>
      <w:r>
        <w:t xml:space="preserve">ение работ) в рамках установленного муниципального задания, доходов от оказания услуг, выполнения работ, реализации готовой продукции сверх установленного муниципального задания по видам деятельности, отнесенным в соответствии с учредительными документами </w:t>
      </w:r>
      <w:r>
        <w:t xml:space="preserve">к</w:t>
      </w:r>
      <w:r>
        <w:t xml:space="preserve"> основным;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доходов от платы за пользование служебными жилыми помещениями и общежитиями, включающей плату за пользование и плату за содержание жилого помещения;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доходов от возмещения расходов, понесенных в связи с эксплуатацией имущества, находящегося в оперативном управлении учреждения;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прочих доходов от оказания услуг, выполнения работ, компенсации затрат учреждения, включая возмещение расходов по решению судов (возмещение судебных издержек);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поступлений доходов от собственности с обособлением информации: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доходов в виде арендной либо иной платы за передачу в возмездное пользование муниципального имущества;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доходов от распоряжения правами на результаты интеллектуальной деятельности и средствами индивидуализации;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доходов в виде процентов по депозитам и процентов по остаткам средств на счетах учреждения;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доходов в виде процентов, получе</w:t>
      </w:r>
      <w:r>
        <w:t xml:space="preserve">нных от предоставления займов, доходов в виде процентов по иным финансовым инструментам,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поступлений доходов от штрафов, пеней, неустоек, возмещения ущерба;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доходов от выбытия финансовых и нефинансовых активов.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Информация о выплатах формируется с указанием: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выплат по оплате труда и компенсационных выплат работникам;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выплат по перечислению взносов по обязательному социальному страхованию;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выплат по приобретению товаров, работ, услуг с обособлением информации по оплате</w:t>
      </w:r>
      <w:r>
        <w:t xml:space="preserve"> услуг связи, транспортных услуг, коммунальных услуг, арендной платы за пользование имуществом, работ, услуг по содержанию имущества, прочих работ, услуг, приобретению основных средств, нематериальных активов, непроизведенных активов, материальных запасов;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выплат по обслуживанию долговых обязательств;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выплат по безвозмездному перечислению организациям;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выплат по социальному обеспечению;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выплат, связанных с уплатой налогов, сборов, прочих платежей в бюджет (по видам налогов);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выплат, направленных на приобретение финансовых активов;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выплат в целях денежных обеспечений;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объема перечислений на депозитные счета</w:t>
      </w:r>
      <w:r>
        <w:t xml:space="preserve">.».</w:t>
      </w:r>
      <w:r/>
    </w:p>
    <w:p>
      <w:pPr>
        <w:ind w:firstLine="709"/>
        <w:jc w:val="both"/>
        <w:spacing w:before="0" w:beforeAutospacing="0" w:line="240" w:lineRule="auto"/>
        <w:suppressLineNumbers w:val="0"/>
      </w:pPr>
      <w:r>
        <w:t xml:space="preserve">1.1.2. Дополнить подпунктом 7.3.1 следующего содержания:</w:t>
      </w:r>
      <w:r/>
    </w:p>
    <w:p>
      <w:pPr>
        <w:ind w:firstLine="709"/>
        <w:jc w:val="both"/>
        <w:spacing w:before="0" w:beforeAutospacing="0" w:line="240" w:lineRule="auto"/>
        <w:suppressLineNumbers w:val="0"/>
      </w:pPr>
      <w:r>
        <w:t xml:space="preserve">«7.3.1. Сведения о кредиторской задолженности и обязательствах учреждения.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В </w:t>
      </w:r>
      <w:r>
        <w:t xml:space="preserve">сведениях</w:t>
      </w:r>
      <w:r>
        <w:t xml:space="preserve"> о кредиторской задолженности и обязательствах учреждения должна отражаться информация: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кредиторской задолженности на начало года с обособлением информации об объеме задолженности, срок оплаты которой наступил в отчетном финансовом году;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кредиторской задолженности на конец отчетного перио</w:t>
      </w:r>
      <w:r>
        <w:t xml:space="preserve">да с обособлением информации об объеме задолженности, подлежащей оплате в 1 квартале, в первом месяце 1 квартала, 2, 3 и 4 кварталах года, следующего за отчетным годом, а также об объеме задолженности, подлежащей оплате в очередном году и плановом периоде;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t xml:space="preserve">об объеме отложенных обязательств учреждения с обособлением информации об объеме обязательств по оплате труда (компенсации за неиспользованный отпуск), по претензионным требованиям, а также по </w:t>
      </w:r>
      <w:r>
        <w:t xml:space="preserve">непоступившим</w:t>
      </w:r>
      <w:r>
        <w:t xml:space="preserve"> расчетным документам.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rPr>
          <w:highlight w:val="none"/>
        </w:rPr>
        <w:suppressLineNumbers w:val="0"/>
      </w:pPr>
      <w:r>
        <w:t xml:space="preserve">Информация о кредиторской задолженнос</w:t>
      </w:r>
      <w:r>
        <w:t xml:space="preserve">ти формируется с обособлением информации о кредиторской задолженности по выплате заработной платы, по выплате стипендий, пособий, пенсий, по перечислениям в бюджет (по видам задолженности), по оплате товаров, работ, услуг, а также по оплате прочих расходов</w:t>
      </w:r>
      <w:r>
        <w:t xml:space="preserve">.».</w:t>
      </w:r>
      <w:r/>
    </w:p>
    <w:p>
      <w:pPr>
        <w:pStyle w:val="669"/>
        <w:ind w:firstLine="709"/>
        <w:jc w:val="both"/>
        <w:spacing w:before="0" w:beforeAutospacing="0" w:after="0" w:afterAutospacing="0" w:line="240" w:lineRule="auto"/>
        <w:suppressLineNumbers w:val="0"/>
      </w:pPr>
      <w:r>
        <w:rPr>
          <w:highlight w:val="none"/>
        </w:rPr>
        <w:t xml:space="preserve">1.2. </w:t>
      </w:r>
      <w:r>
        <w:t xml:space="preserve">В </w:t>
      </w:r>
      <w:r>
        <w:t xml:space="preserve">пункте</w:t>
      </w:r>
      <w:r>
        <w:t xml:space="preserve"> 12 слова «управлением экономического развития администрации города Урай,</w:t>
      </w:r>
      <w:r>
        <w:t xml:space="preserve">» исключить.</w:t>
      </w:r>
      <w:r/>
      <w:r/>
    </w:p>
    <w:p>
      <w:pPr>
        <w:ind w:firstLine="709"/>
        <w:jc w:val="both"/>
        <w:spacing w:before="0" w:beforeAutospacing="0" w:line="240" w:lineRule="auto"/>
        <w:suppressLineNumbers w:val="0"/>
      </w:pPr>
      <w:r>
        <w:t xml:space="preserve">1.3. В абзаце втором пункта 14 после слова «учреждения» дополнить словами «</w:t>
      </w:r>
      <w:r>
        <w:t xml:space="preserve">, </w:t>
      </w:r>
      <w:r>
        <w:t xml:space="preserve">не содержащий сведения, составляющие государственную тайну или иную охраняемую законом тайну,</w:t>
      </w:r>
      <w:r/>
      <w:r>
        <w:t xml:space="preserve">».</w:t>
      </w:r>
      <w:r>
        <w:rPr>
          <w:highlight w:val="none"/>
        </w:rPr>
      </w:r>
    </w:p>
    <w:p>
      <w:pPr>
        <w:ind w:firstLine="709"/>
        <w:jc w:val="both"/>
        <w:spacing w:before="0" w:beforeAutospacing="0" w:line="240" w:lineRule="auto"/>
        <w:suppressLineNumbers w:val="0"/>
      </w:pPr>
      <w:r>
        <w:t xml:space="preserve">2. Нас</w:t>
      </w:r>
      <w:r>
        <w:t xml:space="preserve">тоящее постановление вступает в силу после его официального опубликования, распространяется на правоотношения, возникшие с 01.01.202</w:t>
      </w:r>
      <w:r>
        <w:t xml:space="preserve">4</w:t>
      </w:r>
      <w:r>
        <w:t xml:space="preserve">, </w:t>
      </w:r>
      <w:r>
        <w:t xml:space="preserve">и применяется</w:t>
      </w:r>
      <w:r>
        <w:t xml:space="preserve">,</w:t>
      </w:r>
      <w:r>
        <w:t xml:space="preserve"> начиная с представления отчета</w:t>
      </w:r>
      <w:r>
        <w:t xml:space="preserve"> </w:t>
      </w:r>
      <w:r>
        <w:t xml:space="preserve">о результатах деятельности муниципального учреждения городского округа Урай </w:t>
      </w:r>
      <w:r>
        <w:t xml:space="preserve">Ханты-Мансийского автономного округа - </w:t>
      </w:r>
      <w:r>
        <w:t xml:space="preserve">Югры</w:t>
      </w:r>
      <w:r>
        <w:t xml:space="preserve"> и об использовании закрепленного за ним муниципального имущества</w:t>
      </w:r>
      <w:r>
        <w:t xml:space="preserve"> за 202</w:t>
      </w:r>
      <w:r>
        <w:t xml:space="preserve">3</w:t>
      </w:r>
      <w:r>
        <w:t xml:space="preserve"> год.</w:t>
      </w:r>
      <w:r/>
      <w:r/>
    </w:p>
    <w:p>
      <w:pPr>
        <w:ind w:firstLine="709"/>
        <w:jc w:val="both"/>
        <w:spacing w:before="0" w:beforeAutospacing="0" w:line="240" w:lineRule="auto"/>
        <w:suppressLineNumbers w:val="0"/>
      </w:pPr>
      <w:r>
        <w:t xml:space="preserve">3</w:t>
      </w:r>
      <w:r>
        <w:t xml:space="preserve">. </w:t>
      </w:r>
      <w:r>
        <w:t xml:space="preserve">Опубликовать постановление в газете </w:t>
      </w:r>
      <w:r>
        <w:t xml:space="preserve">«</w:t>
      </w:r>
      <w:r>
        <w:t xml:space="preserve">Знамя</w:t>
      </w:r>
      <w:r>
        <w:t xml:space="preserve">»</w:t>
      </w:r>
      <w: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>
        <w:t xml:space="preserve">«</w:t>
      </w:r>
      <w:r>
        <w:t xml:space="preserve">Интернет</w:t>
      </w:r>
      <w:r>
        <w:t xml:space="preserve">»</w:t>
      </w:r>
      <w:r>
        <w:t xml:space="preserve">.</w:t>
      </w:r>
      <w:r/>
    </w:p>
    <w:p>
      <w:pPr>
        <w:ind w:firstLine="709"/>
        <w:jc w:val="both"/>
        <w:spacing w:before="0" w:beforeAutospacing="0" w:line="240" w:lineRule="auto"/>
        <w:suppressLineNumbers w:val="0"/>
      </w:pPr>
      <w:r>
        <w:t xml:space="preserve">4</w:t>
      </w:r>
      <w:r>
        <w:t xml:space="preserve">. </w:t>
      </w:r>
      <w:r>
        <w:t xml:space="preserve">Контроль за</w:t>
      </w:r>
      <w:r>
        <w:t xml:space="preserve"> выполнением постановления  возложить на заместителя главы города Урай  С.П. Новосёлову.</w:t>
      </w:r>
      <w:r/>
    </w:p>
    <w:p>
      <w:pPr>
        <w:ind w:firstLine="709"/>
        <w:jc w:val="both"/>
        <w:spacing w:before="0" w:beforeAutospacing="0" w:line="240" w:lineRule="auto"/>
        <w:rPr>
          <w:rFonts w:eastAsiaTheme="minorHAnsi"/>
        </w:rPr>
        <w:suppressLineNumbers w:val="0"/>
      </w:pPr>
      <w:r>
        <w:rPr>
          <w:rFonts w:eastAsiaTheme="minorHAnsi"/>
          <w:lang w:eastAsia="en-US"/>
        </w:rPr>
      </w:r>
      <w:r>
        <w:rPr>
          <w:rFonts w:eastAsiaTheme="minorHAnsi"/>
        </w:rPr>
      </w:r>
    </w:p>
    <w:p>
      <w:pPr>
        <w:ind w:firstLine="709"/>
        <w:jc w:val="both"/>
        <w:spacing w:before="0" w:beforeAutospacing="0" w:line="240" w:lineRule="auto"/>
        <w:rPr>
          <w:rFonts w:eastAsiaTheme="minorHAnsi"/>
        </w:rPr>
        <w:suppressLineNumbers w:val="0"/>
      </w:pPr>
      <w:r>
        <w:rPr>
          <w:rFonts w:eastAsiaTheme="minorHAnsi"/>
          <w:lang w:eastAsia="en-US"/>
        </w:rPr>
      </w:r>
      <w:r>
        <w:rPr>
          <w:rFonts w:eastAsiaTheme="minorHAnsi"/>
        </w:rPr>
      </w:r>
    </w:p>
    <w:p>
      <w:pPr>
        <w:ind w:firstLine="709"/>
        <w:jc w:val="both"/>
        <w:spacing w:before="0" w:beforeAutospacing="0" w:line="240" w:lineRule="auto"/>
        <w:rPr>
          <w:rFonts w:eastAsiaTheme="minorHAnsi"/>
        </w:rPr>
        <w:suppressLineNumbers w:val="0"/>
      </w:pPr>
      <w:r>
        <w:rPr>
          <w:rFonts w:eastAsiaTheme="minorHAnsi"/>
          <w:lang w:eastAsia="en-US"/>
        </w:rPr>
      </w:r>
      <w:r>
        <w:rPr>
          <w:rFonts w:eastAsiaTheme="minorHAnsi"/>
        </w:rPr>
      </w:r>
    </w:p>
    <w:p>
      <w:pPr>
        <w:ind w:firstLine="0"/>
        <w:jc w:val="both"/>
        <w:spacing w:before="0" w:beforeAutospacing="0" w:line="240" w:lineRule="auto"/>
        <w:suppressLineNumbers w:val="0"/>
      </w:pPr>
      <w:r>
        <w:t xml:space="preserve">Глава города Урай                                                </w:t>
      </w:r>
      <w:r>
        <w:t xml:space="preserve"> </w:t>
      </w:r>
      <w:r>
        <w:t xml:space="preserve">                         </w:t>
      </w:r>
      <w:r>
        <w:tab/>
        <w:t xml:space="preserve">            </w:t>
      </w:r>
      <w:r>
        <w:t xml:space="preserve">   </w:t>
      </w:r>
      <w:r>
        <w:t xml:space="preserve">       </w:t>
      </w:r>
      <w:r>
        <w:t xml:space="preserve">              </w:t>
      </w:r>
      <w:r>
        <w:t xml:space="preserve">Т.Р. Закирзянов</w:t>
      </w:r>
      <w:r/>
    </w:p>
    <w:p>
      <w:pPr>
        <w:ind w:firstLine="709"/>
        <w:jc w:val="both"/>
        <w:spacing w:before="0" w:beforeAutospacing="0" w:line="240" w:lineRule="auto"/>
        <w:suppressLineNumbers w:val="0"/>
      </w:pPr>
      <w:r/>
      <w:r/>
    </w:p>
    <w:p>
      <w:pPr>
        <w:ind w:firstLine="709"/>
        <w:jc w:val="both"/>
        <w:spacing w:before="0" w:beforeAutospacing="0" w:line="240" w:lineRule="auto"/>
        <w:suppressLineNumbers w:val="0"/>
      </w:pPr>
      <w:r/>
      <w:r/>
    </w:p>
    <w:p>
      <w:pPr>
        <w:ind w:firstLine="709"/>
        <w:jc w:val="both"/>
        <w:spacing w:before="0" w:beforeAutospacing="0" w:line="240" w:lineRule="auto"/>
        <w:suppressLineNumbers w:val="0"/>
      </w:pPr>
      <w:r/>
      <w:r/>
    </w:p>
    <w:p>
      <w:pPr>
        <w:ind w:firstLine="709"/>
        <w:jc w:val="both"/>
        <w:spacing w:before="0" w:beforeAutospacing="0" w:line="240" w:lineRule="auto"/>
        <w:suppressLineNumbers w:val="0"/>
      </w:pPr>
      <w:r/>
      <w:r/>
    </w:p>
    <w:sectPr>
      <w:footnotePr/>
      <w:endnotePr/>
      <w:type w:val="nextPage"/>
      <w:pgSz w:w="11905" w:h="16838" w:orient="portrait"/>
      <w:pgMar w:top="851" w:right="567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suff w:val="tab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9" w:hanging="360"/>
      </w:pPr>
      <w:rPr>
        <w:rFonts w:hint="default" w:eastAsiaTheme="minorHAnsi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 w:eastAsiaTheme="minorHAnsi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 w:eastAsiaTheme="minorHAnsi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 w:eastAsiaTheme="minorHAnsi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 w:eastAsiaTheme="minorHAnsi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 w:eastAsiaTheme="minorHAnsi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 w:eastAsiaTheme="minorHAnsi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 w:eastAsiaTheme="minorHAnsi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4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21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93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46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8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77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4"/>
    <w:next w:val="64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47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7"/>
    <w:link w:val="64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7"/>
    <w:link w:val="646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44"/>
    <w:next w:val="64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4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4"/>
    <w:next w:val="64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4"/>
    <w:next w:val="64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4"/>
    <w:next w:val="64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4"/>
    <w:next w:val="64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4"/>
    <w:next w:val="64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7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7"/>
    <w:link w:val="652"/>
    <w:uiPriority w:val="10"/>
    <w:rPr>
      <w:sz w:val="48"/>
      <w:szCs w:val="48"/>
    </w:rPr>
  </w:style>
  <w:style w:type="paragraph" w:styleId="36">
    <w:name w:val="Subtitle"/>
    <w:basedOn w:val="644"/>
    <w:next w:val="64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7"/>
    <w:link w:val="36"/>
    <w:uiPriority w:val="11"/>
    <w:rPr>
      <w:sz w:val="24"/>
      <w:szCs w:val="24"/>
    </w:rPr>
  </w:style>
  <w:style w:type="paragraph" w:styleId="38">
    <w:name w:val="Quote"/>
    <w:basedOn w:val="644"/>
    <w:next w:val="64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44"/>
    <w:next w:val="64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4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7"/>
    <w:link w:val="42"/>
    <w:uiPriority w:val="99"/>
  </w:style>
  <w:style w:type="paragraph" w:styleId="44">
    <w:name w:val="Footer"/>
    <w:basedOn w:val="64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7"/>
    <w:link w:val="44"/>
    <w:uiPriority w:val="99"/>
  </w:style>
  <w:style w:type="paragraph" w:styleId="46">
    <w:name w:val="Caption"/>
    <w:basedOn w:val="644"/>
    <w:next w:val="6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4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7"/>
    <w:uiPriority w:val="99"/>
    <w:unhideWhenUsed/>
    <w:rPr>
      <w:vertAlign w:val="superscript"/>
    </w:rPr>
  </w:style>
  <w:style w:type="paragraph" w:styleId="178">
    <w:name w:val="endnote text"/>
    <w:basedOn w:val="64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7"/>
    <w:uiPriority w:val="99"/>
    <w:semiHidden/>
    <w:unhideWhenUsed/>
    <w:rPr>
      <w:vertAlign w:val="superscript"/>
    </w:rPr>
  </w:style>
  <w:style w:type="paragraph" w:styleId="181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5">
    <w:name w:val="Heading 2"/>
    <w:basedOn w:val="644"/>
    <w:next w:val="644"/>
    <w:link w:val="650"/>
    <w:semiHidden/>
    <w:unhideWhenUsed/>
    <w:qFormat/>
    <w:pPr>
      <w:keepNext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paragraph" w:styleId="646">
    <w:name w:val="Heading 3"/>
    <w:basedOn w:val="644"/>
    <w:next w:val="644"/>
    <w:link w:val="651"/>
    <w:semiHidden/>
    <w:unhideWhenUsed/>
    <w:qFormat/>
    <w:pPr>
      <w:keepNext/>
      <w:spacing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Заголовок 2 Знак"/>
    <w:basedOn w:val="647"/>
    <w:link w:val="645"/>
    <w:semiHidden/>
    <w:rPr>
      <w:rFonts w:ascii="Arial" w:hAnsi="Arial" w:eastAsia="Calibri" w:cs="Arial"/>
      <w:b/>
      <w:bCs/>
      <w:i/>
      <w:iCs/>
      <w:sz w:val="28"/>
      <w:szCs w:val="28"/>
      <w:lang w:eastAsia="ru-RU"/>
    </w:rPr>
  </w:style>
  <w:style w:type="character" w:styleId="651" w:customStyle="1">
    <w:name w:val="Заголовок 3 Знак"/>
    <w:basedOn w:val="647"/>
    <w:link w:val="646"/>
    <w:semiHidden/>
    <w:rPr>
      <w:rFonts w:ascii="Arial" w:hAnsi="Arial" w:eastAsia="Calibri" w:cs="Arial"/>
      <w:b/>
      <w:bCs/>
      <w:sz w:val="26"/>
      <w:szCs w:val="26"/>
      <w:lang w:eastAsia="ru-RU"/>
    </w:rPr>
  </w:style>
  <w:style w:type="paragraph" w:styleId="652">
    <w:name w:val="Title"/>
    <w:basedOn w:val="644"/>
    <w:link w:val="653"/>
    <w:qFormat/>
    <w:pPr>
      <w:jc w:val="center"/>
    </w:pPr>
    <w:rPr>
      <w:sz w:val="32"/>
      <w:szCs w:val="20"/>
    </w:rPr>
  </w:style>
  <w:style w:type="character" w:styleId="653" w:customStyle="1">
    <w:name w:val="Название Знак"/>
    <w:basedOn w:val="647"/>
    <w:link w:val="652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654" w:customStyle="1">
    <w:name w:val="ConsPlusTitle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55">
    <w:name w:val="Balloon Text"/>
    <w:basedOn w:val="644"/>
    <w:link w:val="656"/>
    <w:uiPriority w:val="99"/>
    <w:semiHidden/>
    <w:unhideWhenUsed/>
    <w:rPr>
      <w:rFonts w:ascii="Tahoma" w:hAnsi="Tahoma" w:cs="Tahoma"/>
      <w:sz w:val="16"/>
      <w:szCs w:val="16"/>
    </w:rPr>
  </w:style>
  <w:style w:type="character" w:styleId="656" w:customStyle="1">
    <w:name w:val="Текст выноски Знак"/>
    <w:basedOn w:val="647"/>
    <w:link w:val="65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57">
    <w:name w:val="List Paragraph"/>
    <w:basedOn w:val="644"/>
    <w:uiPriority w:val="34"/>
    <w:qFormat/>
    <w:pPr>
      <w:contextualSpacing/>
      <w:ind w:left="720"/>
    </w:pPr>
  </w:style>
  <w:style w:type="paragraph" w:styleId="658" w:customStyle="1">
    <w:name w:val="ConsPlusNormal"/>
    <w:link w:val="663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59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60">
    <w:name w:val="No Spacing"/>
    <w:link w:val="668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61">
    <w:name w:val="Table Grid"/>
    <w:basedOn w:val="6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2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  <w:style w:type="character" w:styleId="663" w:customStyle="1">
    <w:name w:val="ConsPlusNormal Знак"/>
    <w:link w:val="658"/>
    <w:rPr>
      <w:rFonts w:ascii="Calibri" w:hAnsi="Calibri" w:eastAsia="Times New Roman" w:cs="Calibri"/>
      <w:szCs w:val="20"/>
      <w:lang w:eastAsia="ru-RU"/>
    </w:rPr>
  </w:style>
  <w:style w:type="character" w:styleId="664">
    <w:name w:val="Hyperlink"/>
    <w:basedOn w:val="647"/>
    <w:uiPriority w:val="99"/>
    <w:unhideWhenUsed/>
    <w:rPr>
      <w:color w:val="0000ff" w:themeColor="hyperlink"/>
      <w:u w:val="single"/>
    </w:rPr>
  </w:style>
  <w:style w:type="character" w:styleId="665">
    <w:name w:val="FollowedHyperlink"/>
    <w:basedOn w:val="647"/>
    <w:uiPriority w:val="99"/>
    <w:semiHidden/>
    <w:unhideWhenUsed/>
    <w:rPr>
      <w:color w:val="800080" w:themeColor="followedHyperlink"/>
      <w:u w:val="single"/>
    </w:rPr>
  </w:style>
  <w:style w:type="character" w:styleId="666" w:customStyle="1">
    <w:name w:val="markedcontent"/>
    <w:basedOn w:val="647"/>
  </w:style>
  <w:style w:type="paragraph" w:styleId="667" w:customStyle="1">
    <w:name w:val="ConsPlusTextList1"/>
    <w:uiPriority w:val="99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character" w:styleId="668" w:customStyle="1">
    <w:name w:val="Без интервала Знак"/>
    <w:link w:val="660"/>
    <w:uiPriority w:val="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9">
    <w:name w:val="Normal (Web)"/>
    <w:basedOn w:val="644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2346&amp;date=07.02.2023&amp;dst=310&amp;field=134" TargetMode="External"/><Relationship Id="rId12" Type="http://schemas.openxmlformats.org/officeDocument/2006/relationships/hyperlink" Target="https://login.consultant.ru/link/?req=doc&amp;base=LAW&amp;n=71975&amp;date=07.02.2023&amp;dst=100009&amp;field=134" TargetMode="External"/><Relationship Id="rId13" Type="http://schemas.openxmlformats.org/officeDocument/2006/relationships/hyperlink" Target="https://login.consultant.ru/link/?req=doc&amp;base=LAW&amp;n=327823&amp;date=07.02.2023&amp;dst=100010&amp;field=134" TargetMode="External"/><Relationship Id="rId14" Type="http://schemas.openxmlformats.org/officeDocument/2006/relationships/hyperlink" Target="https://login.consultant.ru/link/?req=doc&amp;base=LAW&amp;n=465808&amp;dst=3146&amp;field=134&amp;date=22.01.202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CF206-A28B-4785-B83A-BC1F8CFB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revision>14</cp:revision>
  <dcterms:created xsi:type="dcterms:W3CDTF">2023-02-16T10:30:00Z</dcterms:created>
  <dcterms:modified xsi:type="dcterms:W3CDTF">2024-02-01T07:13:12Z</dcterms:modified>
</cp:coreProperties>
</file>