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after="0" w:line="240" w:lineRule="auto"/>
        <w:widowControl w:val="off"/>
        <w:rPr>
          <w:rFonts w:ascii="Times New Roman" w:hAnsi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нформация о реализации мероприятий по снижению рисков нарушения антимонопольного законодательства </w:t>
      </w:r>
      <w:r>
        <w:rPr>
          <w:rFonts w:ascii="Times New Roman" w:hAnsi="Times New Roman"/>
          <w:sz w:val="28"/>
          <w:szCs w:val="28"/>
        </w:rPr>
        <w:t xml:space="preserve">в администрации города Урай 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за 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202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3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Theme="minorEastAsia"/>
          <w:sz w:val="28"/>
          <w:szCs w:val="28"/>
          <w:lang w:eastAsia="ru-RU"/>
        </w:rPr>
      </w:r>
      <w:r>
        <w:rPr>
          <w:rFonts w:ascii="Times New Roman" w:hAnsi="Times New Roman" w:eastAsiaTheme="minorEastAsia"/>
          <w:sz w:val="28"/>
          <w:szCs w:val="28"/>
          <w:lang w:eastAsia="ru-RU"/>
        </w:rPr>
      </w:r>
    </w:p>
    <w:tbl>
      <w:tblPr>
        <w:tblStyle w:val="85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27"/>
        <w:gridCol w:w="2677"/>
        <w:gridCol w:w="2408"/>
        <w:gridCol w:w="1751"/>
        <w:gridCol w:w="3007"/>
        <w:gridCol w:w="1792"/>
      </w:tblGrid>
      <w:tr>
        <w:tblPrEx/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 xml:space="preserve">п</w:t>
            </w:r>
            <w:r>
              <w:rPr>
                <w:rFonts w:ascii="Times New Roman" w:hAnsi="Times New Roman" w:eastAsiaTheme="minorEastAsia"/>
                <w:sz w:val="28"/>
                <w:szCs w:val="28"/>
                <w:lang w:val="en-US" w:eastAsia="ru-RU"/>
              </w:rPr>
              <w:t xml:space="preserve">/</w:t>
            </w: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 xml:space="preserve">п</w:t>
            </w: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r>
          </w:p>
        </w:tc>
        <w:tc>
          <w:tcPr>
            <w:tcW w:w="22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 xml:space="preserve">Наименование и реквизиты муниципального правового акта </w:t>
            </w: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r>
          </w:p>
        </w:tc>
        <w:tc>
          <w:tcPr>
            <w:tcW w:w="26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 xml:space="preserve">Наименование мероприятий</w:t>
            </w: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r>
          </w:p>
        </w:tc>
        <w:tc>
          <w:tcPr>
            <w:tcW w:w="24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 xml:space="preserve">Ответственные исполнители </w:t>
            </w: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r>
          </w:p>
        </w:tc>
        <w:tc>
          <w:tcPr>
            <w:tcW w:w="17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 xml:space="preserve">Сроки исполнения </w:t>
            </w: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r>
          </w:p>
        </w:tc>
        <w:tc>
          <w:tcPr>
            <w:tcW w:w="300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 xml:space="preserve">Показатели</w:t>
            </w:r>
            <w:r>
              <w:rPr>
                <w:rFonts w:ascii="Times New Roman" w:hAnsi="Times New Roman" w:eastAsiaTheme="minorEastAsia"/>
                <w:sz w:val="28"/>
                <w:szCs w:val="28"/>
                <w:lang w:val="en-US" w:eastAsia="ru-RU"/>
              </w:rPr>
              <w:t xml:space="preserve">/</w:t>
            </w: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 xml:space="preserve">результаты</w:t>
            </w: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r>
          </w:p>
        </w:tc>
        <w:tc>
          <w:tcPr>
            <w:tcW w:w="17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 xml:space="preserve">Информация об исполнении</w:t>
            </w: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r>
          </w:p>
        </w:tc>
      </w:tr>
      <w:tr>
        <w:tblPrEx/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Theme="minorEastAsia"/>
                <w:lang w:eastAsia="ru-RU"/>
              </w:rPr>
            </w:pPr>
            <w:r>
              <w:rPr>
                <w:rFonts w:ascii="Times New Roman" w:hAnsi="Times New Roman" w:eastAsiaTheme="minorEastAsia"/>
                <w:lang w:eastAsia="ru-RU"/>
              </w:rPr>
              <w:t xml:space="preserve">1</w:t>
            </w:r>
            <w:r>
              <w:rPr>
                <w:rFonts w:ascii="Times New Roman" w:hAnsi="Times New Roman" w:eastAsiaTheme="minorEastAsia"/>
                <w:lang w:eastAsia="ru-RU"/>
              </w:rPr>
            </w:r>
            <w:r>
              <w:rPr>
                <w:rFonts w:ascii="Times New Roman" w:hAnsi="Times New Roman" w:eastAsiaTheme="minorEastAsia"/>
                <w:lang w:eastAsia="ru-RU"/>
              </w:rPr>
            </w:r>
          </w:p>
        </w:tc>
        <w:tc>
          <w:tcPr>
            <w:tcW w:w="22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Theme="minorEastAsia"/>
                <w:lang w:eastAsia="ru-RU"/>
              </w:rPr>
            </w:pPr>
            <w:r>
              <w:rPr>
                <w:rFonts w:ascii="Times New Roman" w:hAnsi="Times New Roman" w:eastAsiaTheme="minorEastAsia"/>
                <w:lang w:eastAsia="ru-RU"/>
              </w:rPr>
              <w:t xml:space="preserve">2</w:t>
            </w:r>
            <w:r>
              <w:rPr>
                <w:rFonts w:ascii="Times New Roman" w:hAnsi="Times New Roman" w:eastAsiaTheme="minorEastAsia"/>
                <w:lang w:eastAsia="ru-RU"/>
              </w:rPr>
            </w:r>
            <w:r>
              <w:rPr>
                <w:rFonts w:ascii="Times New Roman" w:hAnsi="Times New Roman" w:eastAsiaTheme="minorEastAsia"/>
                <w:lang w:eastAsia="ru-RU"/>
              </w:rPr>
            </w:r>
          </w:p>
        </w:tc>
        <w:tc>
          <w:tcPr>
            <w:tcW w:w="26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Theme="minorEastAsia"/>
                <w:lang w:eastAsia="ru-RU"/>
              </w:rPr>
            </w:pPr>
            <w:r>
              <w:rPr>
                <w:rFonts w:ascii="Times New Roman" w:hAnsi="Times New Roman" w:eastAsiaTheme="minorEastAsia"/>
                <w:lang w:eastAsia="ru-RU"/>
              </w:rPr>
              <w:t xml:space="preserve">3</w:t>
            </w:r>
            <w:r>
              <w:rPr>
                <w:rFonts w:ascii="Times New Roman" w:hAnsi="Times New Roman" w:eastAsiaTheme="minorEastAsia"/>
                <w:lang w:eastAsia="ru-RU"/>
              </w:rPr>
            </w:r>
            <w:r>
              <w:rPr>
                <w:rFonts w:ascii="Times New Roman" w:hAnsi="Times New Roman" w:eastAsiaTheme="minorEastAsia"/>
                <w:lang w:eastAsia="ru-RU"/>
              </w:rPr>
            </w:r>
          </w:p>
        </w:tc>
        <w:tc>
          <w:tcPr>
            <w:tcW w:w="24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Theme="minorEastAsia"/>
                <w:lang w:eastAsia="ru-RU"/>
              </w:rPr>
            </w:pPr>
            <w:r>
              <w:rPr>
                <w:rFonts w:ascii="Times New Roman" w:hAnsi="Times New Roman" w:eastAsiaTheme="minorEastAsia"/>
                <w:lang w:eastAsia="ru-RU"/>
              </w:rPr>
              <w:t xml:space="preserve">4</w:t>
            </w:r>
            <w:r>
              <w:rPr>
                <w:rFonts w:ascii="Times New Roman" w:hAnsi="Times New Roman" w:eastAsiaTheme="minorEastAsia"/>
                <w:lang w:eastAsia="ru-RU"/>
              </w:rPr>
            </w:r>
            <w:r>
              <w:rPr>
                <w:rFonts w:ascii="Times New Roman" w:hAnsi="Times New Roman" w:eastAsiaTheme="minorEastAsia"/>
                <w:lang w:eastAsia="ru-RU"/>
              </w:rPr>
            </w:r>
          </w:p>
        </w:tc>
        <w:tc>
          <w:tcPr>
            <w:tcW w:w="17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Theme="minorEastAsia"/>
                <w:lang w:eastAsia="ru-RU"/>
              </w:rPr>
            </w:pPr>
            <w:r>
              <w:rPr>
                <w:rFonts w:ascii="Times New Roman" w:hAnsi="Times New Roman" w:eastAsiaTheme="minorEastAsia"/>
                <w:lang w:eastAsia="ru-RU"/>
              </w:rPr>
              <w:t xml:space="preserve">5</w:t>
            </w:r>
            <w:r>
              <w:rPr>
                <w:rFonts w:ascii="Times New Roman" w:hAnsi="Times New Roman" w:eastAsiaTheme="minorEastAsia"/>
                <w:lang w:eastAsia="ru-RU"/>
              </w:rPr>
            </w:r>
            <w:r>
              <w:rPr>
                <w:rFonts w:ascii="Times New Roman" w:hAnsi="Times New Roman" w:eastAsiaTheme="minorEastAsia"/>
                <w:lang w:eastAsia="ru-RU"/>
              </w:rPr>
            </w:r>
          </w:p>
        </w:tc>
        <w:tc>
          <w:tcPr>
            <w:tcW w:w="300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Theme="minorEastAsia"/>
                <w:lang w:eastAsia="ru-RU"/>
              </w:rPr>
            </w:pPr>
            <w:r>
              <w:rPr>
                <w:rFonts w:ascii="Times New Roman" w:hAnsi="Times New Roman" w:eastAsiaTheme="minorEastAsia"/>
                <w:lang w:eastAsia="ru-RU"/>
              </w:rPr>
              <w:t xml:space="preserve">6</w:t>
            </w:r>
            <w:r>
              <w:rPr>
                <w:rFonts w:ascii="Times New Roman" w:hAnsi="Times New Roman" w:eastAsiaTheme="minorEastAsia"/>
                <w:lang w:eastAsia="ru-RU"/>
              </w:rPr>
            </w:r>
            <w:r>
              <w:rPr>
                <w:rFonts w:ascii="Times New Roman" w:hAnsi="Times New Roman" w:eastAsiaTheme="minorEastAsia"/>
                <w:lang w:eastAsia="ru-RU"/>
              </w:rPr>
            </w:r>
          </w:p>
        </w:tc>
        <w:tc>
          <w:tcPr>
            <w:tcW w:w="17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Theme="minorEastAsia"/>
                <w:lang w:eastAsia="ru-RU"/>
              </w:rPr>
            </w:pPr>
            <w:r>
              <w:rPr>
                <w:rFonts w:ascii="Times New Roman" w:hAnsi="Times New Roman" w:eastAsiaTheme="minorEastAsia"/>
                <w:lang w:eastAsia="ru-RU"/>
              </w:rPr>
              <w:t xml:space="preserve">7</w:t>
            </w:r>
            <w:r>
              <w:rPr>
                <w:rFonts w:ascii="Times New Roman" w:hAnsi="Times New Roman" w:eastAsiaTheme="minorEastAsia"/>
                <w:lang w:eastAsia="ru-RU"/>
              </w:rPr>
            </w:r>
            <w:r>
              <w:rPr>
                <w:rFonts w:ascii="Times New Roman" w:hAnsi="Times New Roman" w:eastAsiaTheme="minorEastAsia"/>
                <w:lang w:eastAsia="ru-RU"/>
              </w:rPr>
            </w:r>
          </w:p>
        </w:tc>
      </w:tr>
      <w:tr>
        <w:tblPrEx/>
        <w:trPr/>
        <w:tc>
          <w:tcPr>
            <w:tcW w:w="675" w:type="dxa"/>
            <w:textDirection w:val="lrTb"/>
            <w:noWrap w:val="false"/>
          </w:tcPr>
          <w:p>
            <w:pPr>
              <w:pStyle w:val="873"/>
              <w:numPr>
                <w:ilvl w:val="0"/>
                <w:numId w:val="4"/>
              </w:numPr>
              <w:ind w:left="0" w:firstLine="0"/>
              <w:spacing w:after="0" w:line="240" w:lineRule="auto"/>
              <w:widowControl w:val="off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2227" w:type="dxa"/>
            <w:textDirection w:val="lrTb"/>
            <w:noWrap w:val="false"/>
          </w:tcPr>
          <w:p>
            <w:pP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3298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</w:p>
        </w:tc>
        <w:tc>
          <w:tcPr>
            <w:tcW w:w="2677" w:type="dxa"/>
            <w:textDirection w:val="lrTb"/>
            <w:noWrap w:val="false"/>
          </w:tcPr>
          <w:p>
            <w:pPr>
              <w:pStyle w:val="870"/>
              <w:jc w:val="both"/>
            </w:pPr>
            <w:r>
              <w:t xml:space="preserve">Разработка проектов и утверждение муниципальных правовых актов, регулирующих функционирование системы внутреннего обеспечения соответствия требованиям антимонопольного законодательства (антимонопольного </w:t>
            </w:r>
            <w:r>
              <w:t xml:space="preserve">комплаенса</w:t>
            </w:r>
            <w:r>
              <w:t xml:space="preserve">) в администрации города Урай</w:t>
            </w:r>
            <w:r/>
          </w:p>
        </w:tc>
        <w:tc>
          <w:tcPr>
            <w:tcW w:w="2408" w:type="dxa"/>
            <w:textDirection w:val="lrTb"/>
            <w:noWrap w:val="false"/>
          </w:tcPr>
          <w:p>
            <w:pPr>
              <w:pStyle w:val="870"/>
              <w:jc w:val="both"/>
            </w:pPr>
            <w:r>
              <w:t xml:space="preserve">правовое управление администрации города Урай</w:t>
            </w:r>
            <w:r/>
          </w:p>
        </w:tc>
        <w:tc>
          <w:tcPr>
            <w:tcW w:w="1751" w:type="dxa"/>
            <w:textDirection w:val="lrTb"/>
            <w:noWrap w:val="false"/>
          </w:tcPr>
          <w:p>
            <w:pPr>
              <w:pStyle w:val="870"/>
              <w:jc w:val="center"/>
            </w:pPr>
            <w:r>
              <w:t xml:space="preserve">в течение года</w:t>
            </w:r>
            <w:r/>
          </w:p>
        </w:tc>
        <w:tc>
          <w:tcPr>
            <w:tcW w:w="3007" w:type="dxa"/>
            <w:textDirection w:val="lrTb"/>
            <w:noWrap w:val="false"/>
          </w:tcPr>
          <w:p>
            <w:pPr>
              <w:pStyle w:val="870"/>
              <w:jc w:val="both"/>
            </w:pPr>
            <w:r>
              <w:t xml:space="preserve">утвержденные муниципальные правовые акты, регулирующие функционирование </w:t>
            </w:r>
            <w:r>
              <w:t xml:space="preserve">антимонопольного</w:t>
            </w:r>
            <w:r>
              <w:t xml:space="preserve"> </w:t>
            </w:r>
            <w:r>
              <w:t xml:space="preserve">комплаенса</w:t>
            </w:r>
            <w:r>
              <w:t xml:space="preserve"> в администрации города Урай </w:t>
            </w:r>
            <w:r/>
          </w:p>
        </w:tc>
        <w:tc>
          <w:tcPr>
            <w:tcW w:w="17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Theme="minorEastAsia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 w:eastAsiaTheme="minorEastAsia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Theme="minorEastAsia"/>
                <w:sz w:val="24"/>
                <w:szCs w:val="24"/>
                <w:highlight w:val="none"/>
                <w:lang w:eastAsia="ru-RU"/>
              </w:rPr>
            </w:r>
          </w:p>
          <w:p>
            <w:pPr>
              <w:spacing w:after="0" w:line="240" w:lineRule="auto"/>
              <w:widowControl w:val="off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  <w:t xml:space="preserve">постановление администрации города Урай от 25.12.2023 №2771 «О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мероприятиях по снижению рисков нарушения антимонопольного законодательства в администрации города Урай на 2024 год»</w:t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widowControl w:val="off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</w:p>
        </w:tc>
      </w:tr>
      <w:tr>
        <w:tblPrEx/>
        <w:trPr/>
        <w:tc>
          <w:tcPr>
            <w:tcW w:w="675" w:type="dxa"/>
            <w:textDirection w:val="lrTb"/>
            <w:noWrap w:val="false"/>
          </w:tcPr>
          <w:p>
            <w:pPr>
              <w:pStyle w:val="873"/>
              <w:numPr>
                <w:ilvl w:val="0"/>
                <w:numId w:val="4"/>
              </w:numPr>
              <w:ind w:left="0" w:firstLine="0"/>
              <w:spacing w:after="0" w:line="240" w:lineRule="auto"/>
              <w:widowControl w:val="off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</w:p>
        </w:tc>
        <w:tc>
          <w:tcPr>
            <w:tcW w:w="2227" w:type="dxa"/>
            <w:textDirection w:val="lrTb"/>
            <w:noWrap w:val="false"/>
          </w:tcPr>
          <w:p>
            <w:pP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3298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</w:p>
        </w:tc>
        <w:tc>
          <w:tcPr>
            <w:tcW w:w="2677" w:type="dxa"/>
            <w:textDirection w:val="lrTb"/>
            <w:noWrap w:val="false"/>
          </w:tcPr>
          <w:p>
            <w:pPr>
              <w:pStyle w:val="870"/>
              <w:jc w:val="both"/>
            </w:pPr>
            <w:r>
              <w:t xml:space="preserve">Проведение предварительной экспертизы проектов муниципальных нормативных правовых актов, разработанных во исполнение переданных муниципальному образованию городской округ Урай Ханты-</w:t>
            </w:r>
            <w:r>
              <w:t xml:space="preserve">Мансийского автономного округа - </w:t>
            </w:r>
            <w:r>
              <w:t xml:space="preserve">Югры</w:t>
            </w:r>
            <w:r>
              <w:t xml:space="preserve"> отдельных государственных полномочий Ханты-Мансийского автономного округа - </w:t>
            </w:r>
            <w:r>
              <w:t xml:space="preserve">Югры</w:t>
            </w:r>
            <w:r>
              <w:t xml:space="preserve">, на наличие или отсутствие возможных рисков нарушения антимонопольного законодательства</w:t>
            </w:r>
            <w:r/>
          </w:p>
        </w:tc>
        <w:tc>
          <w:tcPr>
            <w:tcW w:w="2408" w:type="dxa"/>
            <w:textDirection w:val="lrTb"/>
            <w:noWrap w:val="false"/>
          </w:tcPr>
          <w:p>
            <w:pPr>
              <w:pStyle w:val="870"/>
              <w:jc w:val="both"/>
            </w:pPr>
            <w:r>
              <w:t xml:space="preserve">органы администрации города Урай, являющиеся разработчиками проектов муниципальных нормативных правовых актов, принятие которых может повлечь </w:t>
            </w:r>
            <w:r>
              <w:t xml:space="preserve">возможность нарушения антимонопольного законодательства</w:t>
            </w:r>
            <w:r/>
          </w:p>
        </w:tc>
        <w:tc>
          <w:tcPr>
            <w:tcW w:w="1751" w:type="dxa"/>
            <w:textDirection w:val="lrTb"/>
            <w:noWrap w:val="false"/>
          </w:tcPr>
          <w:p>
            <w:pPr>
              <w:pStyle w:val="870"/>
              <w:ind w:firstLine="567"/>
              <w:jc w:val="both"/>
            </w:pPr>
            <w:r>
              <w:t xml:space="preserve">в течение года</w:t>
            </w:r>
            <w:r/>
          </w:p>
        </w:tc>
        <w:tc>
          <w:tcPr>
            <w:tcW w:w="3007" w:type="dxa"/>
            <w:textDirection w:val="lrTb"/>
            <w:noWrap w:val="false"/>
          </w:tcPr>
          <w:p>
            <w:pPr>
              <w:pStyle w:val="870"/>
              <w:jc w:val="both"/>
            </w:pPr>
            <w:r>
              <w:t xml:space="preserve">доля проектов муниципальных нормативных правовых актов, в отношении которых проведена предварительная экспертиза на наличие или отсутствие возможных рисков нарушения антимонопольного законодательства, - 100%</w:t>
            </w:r>
            <w:r/>
          </w:p>
        </w:tc>
        <w:tc>
          <w:tcPr>
            <w:tcW w:w="17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  <w:t xml:space="preserve">100% - 3 проекта (в отношении 1 проекта предварительная экспертиза проведена дважды) </w:t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widowControl w:val="off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</w:p>
        </w:tc>
      </w:tr>
      <w:tr>
        <w:tblPrEx/>
        <w:trPr>
          <w:trHeight w:val="3854"/>
        </w:trPr>
        <w:tc>
          <w:tcPr>
            <w:tcW w:w="675" w:type="dxa"/>
            <w:textDirection w:val="lrTb"/>
            <w:noWrap w:val="false"/>
          </w:tcPr>
          <w:p>
            <w:pPr>
              <w:pStyle w:val="873"/>
              <w:numPr>
                <w:ilvl w:val="0"/>
                <w:numId w:val="4"/>
              </w:numPr>
              <w:ind w:left="0" w:firstLine="0"/>
              <w:spacing w:after="0" w:line="240" w:lineRule="auto"/>
              <w:widowControl w:val="off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</w:p>
        </w:tc>
        <w:tc>
          <w:tcPr>
            <w:tcW w:w="2227" w:type="dxa"/>
            <w:textDirection w:val="lrTb"/>
            <w:noWrap w:val="false"/>
          </w:tcPr>
          <w:p>
            <w:pP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3298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</w:p>
        </w:tc>
        <w:tc>
          <w:tcPr>
            <w:tcW w:w="2677" w:type="dxa"/>
            <w:textDirection w:val="lrTb"/>
            <w:noWrap w:val="false"/>
          </w:tcPr>
          <w:p>
            <w:pPr>
              <w:pStyle w:val="870"/>
              <w:jc w:val="both"/>
            </w:pPr>
            <w:r>
              <w:t xml:space="preserve">Проведение правовой экспертизы проектов муниципальных нормативных правовых актов, в том числе на соответствие требованиям антимонопольного законодательства</w:t>
            </w:r>
            <w:r/>
          </w:p>
        </w:tc>
        <w:tc>
          <w:tcPr>
            <w:tcW w:w="2408" w:type="dxa"/>
            <w:textDirection w:val="lrTb"/>
            <w:noWrap w:val="false"/>
          </w:tcPr>
          <w:p>
            <w:pPr>
              <w:pStyle w:val="870"/>
              <w:jc w:val="both"/>
            </w:pPr>
            <w:r>
              <w:t xml:space="preserve">правовое управление администрации города Урай</w:t>
            </w:r>
            <w:r/>
          </w:p>
        </w:tc>
        <w:tc>
          <w:tcPr>
            <w:tcW w:w="1751" w:type="dxa"/>
            <w:textDirection w:val="lrTb"/>
            <w:noWrap w:val="false"/>
          </w:tcPr>
          <w:p>
            <w:pPr>
              <w:pStyle w:val="870"/>
              <w:ind w:firstLine="567"/>
              <w:jc w:val="both"/>
            </w:pPr>
            <w:r>
              <w:t xml:space="preserve">в течение года</w:t>
            </w:r>
            <w:r/>
          </w:p>
        </w:tc>
        <w:tc>
          <w:tcPr>
            <w:tcW w:w="3007" w:type="dxa"/>
            <w:textDirection w:val="lrTb"/>
            <w:noWrap w:val="false"/>
          </w:tcPr>
          <w:p>
            <w:pPr>
              <w:pStyle w:val="870"/>
              <w:jc w:val="both"/>
            </w:pPr>
            <w:r>
              <w:t xml:space="preserve">доля проектов муниципальных нормативных правовых актов, в отношении которых проведена правовая экспертиза, в том числе на соответствие требованиям антимонопольного законодательства, - 100%</w:t>
            </w:r>
            <w:r/>
          </w:p>
        </w:tc>
        <w:tc>
          <w:tcPr>
            <w:tcW w:w="17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  <w:t xml:space="preserve">100 %</w:t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widowControl w:val="off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  <w:t xml:space="preserve">Примечание: в</w:t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  <w:t xml:space="preserve"> отношении </w:t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  <w:t xml:space="preserve">373 проект</w:t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  <w:t xml:space="preserve">ов</w:t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  <w:t xml:space="preserve">муниципальных нормативных правовых актов</w:t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</w:p>
        </w:tc>
      </w:tr>
      <w:tr>
        <w:tblPrEx/>
        <w:trPr/>
        <w:tc>
          <w:tcPr>
            <w:tcW w:w="675" w:type="dxa"/>
            <w:textDirection w:val="lrTb"/>
            <w:noWrap w:val="false"/>
          </w:tcPr>
          <w:p>
            <w:pPr>
              <w:pStyle w:val="873"/>
              <w:numPr>
                <w:ilvl w:val="0"/>
                <w:numId w:val="4"/>
              </w:numPr>
              <w:ind w:left="0" w:firstLine="0"/>
              <w:spacing w:after="0" w:line="240" w:lineRule="auto"/>
              <w:widowControl w:val="off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</w:p>
        </w:tc>
        <w:tc>
          <w:tcPr>
            <w:tcW w:w="2227" w:type="dxa"/>
            <w:textDirection w:val="lrTb"/>
            <w:noWrap w:val="false"/>
          </w:tcPr>
          <w:p>
            <w:pP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3298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мероприятиях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снижению рисков нарушения 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</w:p>
        </w:tc>
        <w:tc>
          <w:tcPr>
            <w:tcW w:w="2677" w:type="dxa"/>
            <w:textDirection w:val="lrTb"/>
            <w:noWrap w:val="false"/>
          </w:tcPr>
          <w:p>
            <w:pPr>
              <w:pStyle w:val="870"/>
              <w:jc w:val="both"/>
              <w:spacing w:line="276" w:lineRule="auto"/>
            </w:pPr>
            <w:r>
              <w:t xml:space="preserve">Анализ действующих муниципальных нормативных правовых актов на наличие или отсутствие рисков </w:t>
            </w:r>
            <w:r>
              <w:t xml:space="preserve">нарушения антимонопольного законодательства </w:t>
            </w:r>
            <w:r/>
          </w:p>
        </w:tc>
        <w:tc>
          <w:tcPr>
            <w:tcW w:w="2408" w:type="dxa"/>
            <w:textDirection w:val="lrTb"/>
            <w:noWrap w:val="false"/>
          </w:tcPr>
          <w:p>
            <w:pPr>
              <w:pStyle w:val="870"/>
              <w:jc w:val="both"/>
            </w:pPr>
            <w:r>
              <w:t xml:space="preserve">органы администрации города Урай, являющиеся разработчиками проектов </w:t>
            </w:r>
            <w:r>
              <w:t xml:space="preserve">муниципальных нормативных правовых актов, принятие которых могло повлечь возможность нарушения антимонопольного законодательства</w:t>
            </w:r>
            <w:r/>
          </w:p>
        </w:tc>
        <w:tc>
          <w:tcPr>
            <w:tcW w:w="1751" w:type="dxa"/>
            <w:textDirection w:val="lrTb"/>
            <w:noWrap w:val="false"/>
          </w:tcPr>
          <w:p>
            <w:pPr>
              <w:pStyle w:val="870"/>
              <w:ind w:firstLine="567"/>
              <w:jc w:val="both"/>
            </w:pPr>
            <w:r>
              <w:t xml:space="preserve">в течение года</w:t>
            </w:r>
            <w:r/>
          </w:p>
        </w:tc>
        <w:tc>
          <w:tcPr>
            <w:tcW w:w="3007" w:type="dxa"/>
            <w:textDirection w:val="lrTb"/>
            <w:noWrap w:val="false"/>
          </w:tcPr>
          <w:p>
            <w:pPr>
              <w:pStyle w:val="870"/>
              <w:jc w:val="both"/>
            </w:pPr>
            <w:r>
              <w:t xml:space="preserve">доля действующих муниципальных нормативных правовых актов, в отношении которых проведен анализ на наличие или отсутствие </w:t>
            </w:r>
            <w:r>
              <w:t xml:space="preserve">рисков нарушения антимонопольного законодательства, - 100%</w:t>
            </w:r>
            <w:r/>
          </w:p>
        </w:tc>
        <w:tc>
          <w:tcPr>
            <w:tcW w:w="17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  <w:t xml:space="preserve">100</w:t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  <w:t xml:space="preserve">%</w:t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</w:p>
        </w:tc>
      </w:tr>
      <w:tr>
        <w:tblPrEx/>
        <w:trPr/>
        <w:tc>
          <w:tcPr>
            <w:tcW w:w="675" w:type="dxa"/>
            <w:textDirection w:val="lrTb"/>
            <w:noWrap w:val="false"/>
          </w:tcPr>
          <w:p>
            <w:pPr>
              <w:pStyle w:val="873"/>
              <w:numPr>
                <w:ilvl w:val="0"/>
                <w:numId w:val="4"/>
              </w:numPr>
              <w:ind w:left="0" w:firstLine="0"/>
              <w:spacing w:after="0" w:line="240" w:lineRule="auto"/>
              <w:widowControl w:val="off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</w:p>
        </w:tc>
        <w:tc>
          <w:tcPr>
            <w:tcW w:w="2227" w:type="dxa"/>
            <w:textDirection w:val="lrTb"/>
            <w:noWrap w:val="false"/>
          </w:tcPr>
          <w:p>
            <w:pP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3298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</w:p>
        </w:tc>
        <w:tc>
          <w:tcPr>
            <w:tcW w:w="2677" w:type="dxa"/>
            <w:textDirection w:val="lrTb"/>
            <w:noWrap w:val="false"/>
          </w:tcPr>
          <w:p>
            <w:pPr>
              <w:pStyle w:val="870"/>
              <w:jc w:val="both"/>
            </w:pPr>
            <w:r>
              <w:t xml:space="preserve">Подготовка информации о проектах муниципальных нормативных правовых актов, прошедших правовую экспертизу, в которых выявлены нарушения антимонопольного законодательства</w:t>
            </w:r>
            <w:r/>
          </w:p>
        </w:tc>
        <w:tc>
          <w:tcPr>
            <w:tcW w:w="2408" w:type="dxa"/>
            <w:textDirection w:val="lrTb"/>
            <w:noWrap w:val="false"/>
          </w:tcPr>
          <w:p>
            <w:pPr>
              <w:pStyle w:val="870"/>
              <w:jc w:val="both"/>
            </w:pPr>
            <w:r>
              <w:t xml:space="preserve">правовое управление администрации города Урай</w:t>
            </w:r>
            <w:r/>
          </w:p>
        </w:tc>
        <w:tc>
          <w:tcPr>
            <w:tcW w:w="1751" w:type="dxa"/>
            <w:textDirection w:val="lrTb"/>
            <w:noWrap w:val="false"/>
          </w:tcPr>
          <w:p>
            <w:pPr>
              <w:pStyle w:val="870"/>
              <w:jc w:val="center"/>
            </w:pPr>
            <w:r>
              <w:t xml:space="preserve">ежеквартально</w:t>
            </w:r>
            <w:r/>
          </w:p>
        </w:tc>
        <w:tc>
          <w:tcPr>
            <w:tcW w:w="3007" w:type="dxa"/>
            <w:textDirection w:val="lrTb"/>
            <w:noWrap w:val="false"/>
          </w:tcPr>
          <w:p>
            <w:pPr>
              <w:pStyle w:val="870"/>
              <w:jc w:val="both"/>
            </w:pPr>
            <w:r>
              <w:t xml:space="preserve">информирование главы города Урай, первого заместителя главы города Урай, заместителей главы города Урай и руководителей органов администрации города Урай</w:t>
            </w:r>
            <w:r/>
          </w:p>
        </w:tc>
        <w:tc>
          <w:tcPr>
            <w:tcW w:w="17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  <w:t xml:space="preserve">Доведена информация об отсутствии в проектах МНПА, прошедших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правовую экспертизу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нарушений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антимонопольного законодательства</w:t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</w:p>
        </w:tc>
      </w:tr>
      <w:tr>
        <w:tblPrEx/>
        <w:trPr/>
        <w:tc>
          <w:tcPr>
            <w:tcW w:w="675" w:type="dxa"/>
            <w:textDirection w:val="lrTb"/>
            <w:noWrap w:val="false"/>
          </w:tcPr>
          <w:p>
            <w:pPr>
              <w:pStyle w:val="873"/>
              <w:numPr>
                <w:ilvl w:val="0"/>
                <w:numId w:val="4"/>
              </w:numPr>
              <w:ind w:left="0" w:firstLine="0"/>
              <w:spacing w:after="0" w:line="240" w:lineRule="auto"/>
              <w:widowControl w:val="off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</w:p>
        </w:tc>
        <w:tc>
          <w:tcPr>
            <w:tcW w:w="2227" w:type="dxa"/>
            <w:textDirection w:val="lrTb"/>
            <w:noWrap w:val="false"/>
          </w:tcPr>
          <w:p>
            <w:pP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3298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</w:p>
        </w:tc>
        <w:tc>
          <w:tcPr>
            <w:tcW w:w="2677" w:type="dxa"/>
            <w:textDirection w:val="lrTb"/>
            <w:noWrap w:val="false"/>
          </w:tcPr>
          <w:p>
            <w:pPr>
              <w:pStyle w:val="870"/>
              <w:jc w:val="both"/>
            </w:pPr>
            <w:r>
              <w:t xml:space="preserve">Размещение на официальном сайте органов местного самоуправления города Урай в информационно-телекоммуникационной сети «Интернет» информации о реализации мероприятий по снижению рисков нарушения антимонопольного законодательства в администрации города Урай</w:t>
            </w:r>
            <w:r/>
          </w:p>
        </w:tc>
        <w:tc>
          <w:tcPr>
            <w:tcW w:w="2408" w:type="dxa"/>
            <w:textDirection w:val="lrTb"/>
            <w:noWrap w:val="false"/>
          </w:tcPr>
          <w:p>
            <w:pPr>
              <w:pStyle w:val="870"/>
              <w:jc w:val="both"/>
            </w:pPr>
            <w:r>
              <w:t xml:space="preserve">Правовое </w:t>
            </w:r>
            <w:r>
              <w:t xml:space="preserve">управление администрации города Урай</w:t>
            </w:r>
            <w:r/>
          </w:p>
        </w:tc>
        <w:tc>
          <w:tcPr>
            <w:tcW w:w="1751" w:type="dxa"/>
            <w:textDirection w:val="lrTb"/>
            <w:noWrap w:val="false"/>
          </w:tcPr>
          <w:p>
            <w:pPr>
              <w:pStyle w:val="870"/>
              <w:ind w:hanging="62"/>
              <w:jc w:val="center"/>
            </w:pPr>
            <w:r>
              <w:t xml:space="preserve">в течение года</w:t>
            </w:r>
            <w:r/>
          </w:p>
        </w:tc>
        <w:tc>
          <w:tcPr>
            <w:tcW w:w="3007" w:type="dxa"/>
            <w:textDirection w:val="lrTb"/>
            <w:noWrap w:val="false"/>
          </w:tcPr>
          <w:p>
            <w:pPr>
              <w:pStyle w:val="870"/>
              <w:jc w:val="both"/>
            </w:pPr>
            <w:r>
              <w:t xml:space="preserve">актуальная информация о реализации мероприятий по снижению рисков нарушения антимонопольного законодательства в администрации города Урай</w:t>
            </w:r>
            <w:r/>
          </w:p>
        </w:tc>
        <w:tc>
          <w:tcPr>
            <w:tcW w:w="17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  <w:t xml:space="preserve">Информация за </w:t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  <w:t xml:space="preserve">202</w:t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  <w:t xml:space="preserve"> год размещена на официальном сайте органов местного самоуправления города Урай в информационн</w:t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  <w:t xml:space="preserve">о-</w:t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  <w:t xml:space="preserve"> телекоммуникационной сети «Интернет» в подразделе «Антимонопольный </w:t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  <w:t xml:space="preserve">комплаенс</w:t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  <w:t xml:space="preserve">» раздела «Экономика»</w:t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</w:p>
        </w:tc>
      </w:tr>
      <w:tr>
        <w:tblPrEx/>
        <w:trPr/>
        <w:tc>
          <w:tcPr>
            <w:tcW w:w="675" w:type="dxa"/>
            <w:textDirection w:val="lrTb"/>
            <w:noWrap w:val="false"/>
          </w:tcPr>
          <w:p>
            <w:pPr>
              <w:pStyle w:val="873"/>
              <w:numPr>
                <w:ilvl w:val="0"/>
                <w:numId w:val="4"/>
              </w:numPr>
              <w:ind w:left="0" w:firstLine="0"/>
              <w:spacing w:after="0" w:line="240" w:lineRule="auto"/>
              <w:widowControl w:val="off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</w:p>
        </w:tc>
        <w:tc>
          <w:tcPr>
            <w:tcW w:w="2227" w:type="dxa"/>
            <w:textDirection w:val="lrTb"/>
            <w:noWrap w:val="false"/>
          </w:tcPr>
          <w:p>
            <w:pP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3298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</w:p>
        </w:tc>
        <w:tc>
          <w:tcPr>
            <w:tcW w:w="2677" w:type="dxa"/>
            <w:textDirection w:val="lrTb"/>
            <w:noWrap w:val="false"/>
          </w:tcPr>
          <w:p>
            <w:pPr>
              <w:pStyle w:val="870"/>
              <w:jc w:val="both"/>
            </w:pPr>
            <w:r>
              <w:t xml:space="preserve">Организация обучения работников администрации города Урай, деятельность которых связана с рисками нарушения антимонопольного законодательства, в частности с</w:t>
            </w:r>
            <w:r>
              <w:t xml:space="preserve"> взаимодействием с хозяйствующими субъектами, организацией закупок, торгов, разработкой проектов муниципальных нормативных правовых актов, принятие которых может повлечь возможность нарушения антимонопольного законодательства, по вопросам антимонопольного </w:t>
            </w:r>
            <w:r>
              <w:t xml:space="preserve">комплаенса</w:t>
            </w:r>
            <w:r/>
          </w:p>
        </w:tc>
        <w:tc>
          <w:tcPr>
            <w:tcW w:w="2408" w:type="dxa"/>
            <w:textDirection w:val="lrTb"/>
            <w:noWrap w:val="false"/>
          </w:tcPr>
          <w:p>
            <w:pPr>
              <w:pStyle w:val="870"/>
              <w:jc w:val="both"/>
            </w:pPr>
            <w:r>
              <w:t xml:space="preserve">управление по развитию местного самоуправления администрации города Урай</w:t>
            </w:r>
            <w:r/>
          </w:p>
        </w:tc>
        <w:tc>
          <w:tcPr>
            <w:tcW w:w="1751" w:type="dxa"/>
            <w:textDirection w:val="lrTb"/>
            <w:noWrap w:val="false"/>
          </w:tcPr>
          <w:p>
            <w:pPr>
              <w:pStyle w:val="870"/>
              <w:ind w:hanging="62"/>
              <w:jc w:val="center"/>
            </w:pPr>
            <w:r>
              <w:t xml:space="preserve">в течение года</w:t>
            </w:r>
            <w:r/>
          </w:p>
        </w:tc>
        <w:tc>
          <w:tcPr>
            <w:tcW w:w="3007" w:type="dxa"/>
            <w:textDirection w:val="lrTb"/>
            <w:noWrap w:val="false"/>
          </w:tcPr>
          <w:p>
            <w:pPr>
              <w:pStyle w:val="870"/>
              <w:jc w:val="both"/>
            </w:pPr>
            <w:r>
              <w:t xml:space="preserve">организация обучения работников администрации города Урай по вопросам антимонопольного </w:t>
            </w:r>
            <w:r>
              <w:t xml:space="preserve">комплаенса</w:t>
            </w:r>
            <w:r/>
          </w:p>
        </w:tc>
        <w:tc>
          <w:tcPr>
            <w:tcW w:w="1792" w:type="dxa"/>
            <w:textDirection w:val="lrTb"/>
            <w:noWrap w:val="false"/>
          </w:tcPr>
          <w:p>
            <w:pPr>
              <w:ind w:left="13" w:hanging="13"/>
              <w:jc w:val="both"/>
              <w:spacing w:after="0" w:line="240" w:lineRule="auto"/>
              <w:widowControl w:val="off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</w:p>
        </w:tc>
      </w:tr>
      <w:tr>
        <w:tblPrEx/>
        <w:trPr/>
        <w:tc>
          <w:tcPr>
            <w:tcW w:w="675" w:type="dxa"/>
            <w:textDirection w:val="lrTb"/>
            <w:noWrap w:val="false"/>
          </w:tcPr>
          <w:p>
            <w:pPr>
              <w:pStyle w:val="873"/>
              <w:numPr>
                <w:ilvl w:val="0"/>
                <w:numId w:val="4"/>
              </w:numPr>
              <w:ind w:left="0" w:firstLine="0"/>
              <w:spacing w:after="0" w:line="240" w:lineRule="auto"/>
              <w:widowControl w:val="off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</w:p>
        </w:tc>
        <w:tc>
          <w:tcPr>
            <w:tcW w:w="2227" w:type="dxa"/>
            <w:textDirection w:val="lrTb"/>
            <w:noWrap w:val="false"/>
          </w:tcPr>
          <w:p>
            <w:pP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3298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</w:p>
        </w:tc>
        <w:tc>
          <w:tcPr>
            <w:tcW w:w="2677" w:type="dxa"/>
            <w:textDirection w:val="lrTb"/>
            <w:noWrap w:val="false"/>
          </w:tcPr>
          <w:p>
            <w:pPr>
              <w:pStyle w:val="870"/>
              <w:jc w:val="both"/>
            </w:pPr>
            <w:r>
              <w:t xml:space="preserve">Консультирование работников администрации города Урай по вопросам, связанным с соблюдением антимонопольного законодательства</w:t>
            </w:r>
            <w:r/>
          </w:p>
        </w:tc>
        <w:tc>
          <w:tcPr>
            <w:tcW w:w="2408" w:type="dxa"/>
            <w:textDirection w:val="lrTb"/>
            <w:noWrap w:val="false"/>
          </w:tcPr>
          <w:p>
            <w:pPr>
              <w:pStyle w:val="870"/>
              <w:jc w:val="both"/>
            </w:pPr>
            <w:r>
              <w:t xml:space="preserve">правовое управление администрации города</w:t>
            </w:r>
            <w:r/>
          </w:p>
        </w:tc>
        <w:tc>
          <w:tcPr>
            <w:tcW w:w="1751" w:type="dxa"/>
            <w:textDirection w:val="lrTb"/>
            <w:noWrap w:val="false"/>
          </w:tcPr>
          <w:p>
            <w:pPr>
              <w:pStyle w:val="870"/>
              <w:jc w:val="center"/>
            </w:pPr>
            <w:r>
              <w:t xml:space="preserve">в течение года</w:t>
            </w:r>
            <w:r/>
          </w:p>
        </w:tc>
        <w:tc>
          <w:tcPr>
            <w:tcW w:w="3007" w:type="dxa"/>
            <w:textDirection w:val="lrTb"/>
            <w:noWrap w:val="false"/>
          </w:tcPr>
          <w:p>
            <w:pPr>
              <w:pStyle w:val="870"/>
              <w:jc w:val="both"/>
            </w:pPr>
            <w:r>
              <w:t xml:space="preserve">организация на постоянной основе работы по консультированию работников администрации города Урай по вопросам, связанным с соблюдением антимонопольного законодательства</w:t>
            </w:r>
            <w:r/>
          </w:p>
        </w:tc>
        <w:tc>
          <w:tcPr>
            <w:tcW w:w="1792" w:type="dxa"/>
            <w:textDirection w:val="lrTb"/>
            <w:noWrap w:val="false"/>
          </w:tcPr>
          <w:p>
            <w:pPr>
              <w:pStyle w:val="870"/>
              <w:jc w:val="both"/>
            </w:pPr>
            <w:r>
              <w:t xml:space="preserve">консультирование работников администрации города Урай по вопросам, связанным с соблюдением антимонопольного законодательства, осуществляется на постоянной основе по мере поступления обращений</w:t>
            </w:r>
            <w:r/>
          </w:p>
        </w:tc>
      </w:tr>
      <w:tr>
        <w:tblPrEx/>
        <w:trPr/>
        <w:tc>
          <w:tcPr>
            <w:tcW w:w="675" w:type="dxa"/>
            <w:textDirection w:val="lrTb"/>
            <w:noWrap w:val="false"/>
          </w:tcPr>
          <w:p>
            <w:pPr>
              <w:pStyle w:val="873"/>
              <w:numPr>
                <w:ilvl w:val="0"/>
                <w:numId w:val="4"/>
              </w:numPr>
              <w:ind w:left="0" w:firstLine="0"/>
              <w:spacing w:after="0" w:line="240" w:lineRule="auto"/>
              <w:widowControl w:val="off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</w:p>
        </w:tc>
        <w:tc>
          <w:tcPr>
            <w:tcW w:w="2227" w:type="dxa"/>
            <w:textDirection w:val="lrTb"/>
            <w:noWrap w:val="false"/>
          </w:tcPr>
          <w:p>
            <w:pP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3298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</w:p>
        </w:tc>
        <w:tc>
          <w:tcPr>
            <w:tcW w:w="2677" w:type="dxa"/>
            <w:textDirection w:val="lrTb"/>
            <w:noWrap w:val="false"/>
          </w:tcPr>
          <w:p>
            <w:pPr>
              <w:pStyle w:val="870"/>
              <w:jc w:val="both"/>
            </w:pPr>
            <w:r>
              <w:t xml:space="preserve">Ознакомление работников при приеме на работу в администрацию города Урай с муниципальными правовыми актами </w:t>
            </w:r>
            <w:r>
              <w:t xml:space="preserve">об</w:t>
            </w:r>
            <w:r>
              <w:t xml:space="preserve"> антимонопольном </w:t>
            </w:r>
            <w:r>
              <w:t xml:space="preserve">комплаенсе</w:t>
            </w:r>
            <w:r/>
          </w:p>
        </w:tc>
        <w:tc>
          <w:tcPr>
            <w:tcW w:w="2408" w:type="dxa"/>
            <w:textDirection w:val="lrTb"/>
            <w:noWrap w:val="false"/>
          </w:tcPr>
          <w:p>
            <w:pPr>
              <w:pStyle w:val="870"/>
              <w:jc w:val="both"/>
            </w:pPr>
            <w:r>
              <w:t xml:space="preserve">управление по развитию местного самоуправления администрации города Урай</w:t>
            </w:r>
            <w:r/>
          </w:p>
        </w:tc>
        <w:tc>
          <w:tcPr>
            <w:tcW w:w="1751" w:type="dxa"/>
            <w:textDirection w:val="lrTb"/>
            <w:noWrap w:val="false"/>
          </w:tcPr>
          <w:p>
            <w:pPr>
              <w:pStyle w:val="870"/>
              <w:ind w:firstLine="80"/>
              <w:jc w:val="center"/>
            </w:pPr>
            <w:r>
              <w:t xml:space="preserve">в течение года</w:t>
            </w:r>
            <w:r/>
          </w:p>
        </w:tc>
        <w:tc>
          <w:tcPr>
            <w:tcW w:w="3007" w:type="dxa"/>
            <w:textDirection w:val="lrTb"/>
            <w:noWrap w:val="false"/>
          </w:tcPr>
          <w:p>
            <w:pPr>
              <w:pStyle w:val="870"/>
              <w:jc w:val="both"/>
            </w:pPr>
            <w:r>
              <w:t xml:space="preserve">доля принятых на работу в администрацию города Урай работников, ознакомленных с муниципальными правовыми актами об </w:t>
            </w:r>
            <w:r>
              <w:t xml:space="preserve">антимонопольном</w:t>
            </w:r>
            <w:r>
              <w:t xml:space="preserve"> </w:t>
            </w:r>
            <w:r>
              <w:t xml:space="preserve">комплаенсе</w:t>
            </w:r>
            <w:r>
              <w:t xml:space="preserve">, - 100%</w:t>
            </w:r>
            <w:r/>
          </w:p>
        </w:tc>
        <w:tc>
          <w:tcPr>
            <w:tcW w:w="17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  <w:t xml:space="preserve">100%</w:t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</w:p>
        </w:tc>
      </w:tr>
    </w:tbl>
    <w:p>
      <w:pPr>
        <w:contextualSpacing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</w:p>
    <w:p>
      <w:pPr>
        <w:contextualSpacing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</w:p>
    <w:p>
      <w:pPr>
        <w:contextualSpacing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</w:p>
    <w:p>
      <w:pPr>
        <w:contextualSpacing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</w:p>
    <w:p>
      <w:pPr>
        <w:contextualSpacing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</w:p>
    <w:p>
      <w:pPr>
        <w:contextualSpacing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</w:p>
    <w:p>
      <w:pPr>
        <w:contextualSpacing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</w:p>
    <w:p>
      <w:pPr>
        <w:contextualSpacing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</w:p>
    <w:p>
      <w:pPr>
        <w:contextualSpacing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</w:p>
    <w:p>
      <w:pPr>
        <w:contextualSpacing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</w:p>
    <w:p>
      <w:pPr>
        <w:contextualSpacing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</w:p>
    <w:p>
      <w:pPr>
        <w:contextualSpacing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</w:p>
    <w:p>
      <w:pPr>
        <w:contextualSpacing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</w:p>
    <w:p>
      <w:pPr>
        <w:contextualSpacing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</w:p>
    <w:p>
      <w:pPr>
        <w:contextualSpacing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</w:p>
    <w:p>
      <w:pPr>
        <w:contextualSpacing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</w:p>
    <w:p>
      <w:pPr>
        <w:contextualSpacing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</w:p>
    <w:p>
      <w:pPr>
        <w:contextualSpacing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</w:p>
    <w:p>
      <w:pPr>
        <w:contextualSpacing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</w:p>
    <w:p>
      <w:pPr>
        <w:contextualSpacing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</w:p>
    <w:p>
      <w:pPr>
        <w:contextualSpacing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</w:p>
    <w:p>
      <w:pPr>
        <w:contextualSpacing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</w:p>
    <w:p>
      <w:pPr>
        <w:contextualSpacing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</w:p>
    <w:p>
      <w:pPr>
        <w:contextualSpacing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</w:p>
    <w:p>
      <w:pPr>
        <w:contextualSpacing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</w:p>
    <w:p>
      <w:pPr>
        <w:contextualSpacing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</w:p>
    <w:p>
      <w:pPr>
        <w:contextualSpacing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</w:p>
    <w:p>
      <w:pPr>
        <w:contextualSpacing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</w:p>
    <w:p>
      <w:pPr>
        <w:contextualSpacing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</w:p>
    <w:p>
      <w:pPr>
        <w:contextualSpacing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</w:p>
    <w:p>
      <w:pPr>
        <w:contextualSpacing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</w:p>
    <w:p>
      <w:pPr>
        <w:contextualSpacing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</w:p>
    <w:p>
      <w:pPr>
        <w:contextualSpacing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</w:p>
    <w:p>
      <w:pPr>
        <w:contextualSpacing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</w:p>
    <w:p>
      <w:pPr>
        <w:contextualSpacing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</w:p>
    <w:p>
      <w:pPr>
        <w:contextualSpacing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</w:p>
    <w:sectPr>
      <w:headerReference w:type="default" r:id="rId9"/>
      <w:footnotePr/>
      <w:endnotePr/>
      <w:type w:val="nextPage"/>
      <w:pgSz w:w="16838" w:h="11906" w:orient="landscape"/>
      <w:pgMar w:top="851" w:right="1134" w:bottom="1134" w:left="1134" w:header="56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Verdana">
    <w:panose1 w:val="020B060403050404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0"/>
      <w:jc w:val="center"/>
    </w:pPr>
    <w:fldSimple w:instr="PAGE \* MERGEFORMAT">
      <w:r>
        <w:t xml:space="preserve">1</w:t>
      </w:r>
    </w:fldSimple>
    <w:r/>
    <w:r/>
  </w:p>
  <w:p>
    <w:pPr>
      <w:pStyle w:val="860"/>
      <w:jc w:val="right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0">
    <w:name w:val="Heading 1 Char"/>
    <w:basedOn w:val="849"/>
    <w:link w:val="848"/>
    <w:uiPriority w:val="9"/>
    <w:rPr>
      <w:rFonts w:ascii="Arial" w:hAnsi="Arial" w:eastAsia="Arial" w:cs="Arial"/>
      <w:sz w:val="40"/>
      <w:szCs w:val="40"/>
    </w:rPr>
  </w:style>
  <w:style w:type="paragraph" w:styleId="681">
    <w:name w:val="Heading 2"/>
    <w:basedOn w:val="847"/>
    <w:next w:val="847"/>
    <w:link w:val="68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2">
    <w:name w:val="Heading 2 Char"/>
    <w:basedOn w:val="849"/>
    <w:link w:val="681"/>
    <w:uiPriority w:val="9"/>
    <w:rPr>
      <w:rFonts w:ascii="Arial" w:hAnsi="Arial" w:eastAsia="Arial" w:cs="Arial"/>
      <w:sz w:val="34"/>
    </w:rPr>
  </w:style>
  <w:style w:type="paragraph" w:styleId="683">
    <w:name w:val="Heading 3"/>
    <w:basedOn w:val="847"/>
    <w:next w:val="847"/>
    <w:link w:val="68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4">
    <w:name w:val="Heading 3 Char"/>
    <w:basedOn w:val="849"/>
    <w:link w:val="683"/>
    <w:uiPriority w:val="9"/>
    <w:rPr>
      <w:rFonts w:ascii="Arial" w:hAnsi="Arial" w:eastAsia="Arial" w:cs="Arial"/>
      <w:sz w:val="30"/>
      <w:szCs w:val="30"/>
    </w:rPr>
  </w:style>
  <w:style w:type="paragraph" w:styleId="685">
    <w:name w:val="Heading 4"/>
    <w:basedOn w:val="847"/>
    <w:next w:val="847"/>
    <w:link w:val="68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6">
    <w:name w:val="Heading 4 Char"/>
    <w:basedOn w:val="849"/>
    <w:link w:val="685"/>
    <w:uiPriority w:val="9"/>
    <w:rPr>
      <w:rFonts w:ascii="Arial" w:hAnsi="Arial" w:eastAsia="Arial" w:cs="Arial"/>
      <w:b/>
      <w:bCs/>
      <w:sz w:val="26"/>
      <w:szCs w:val="26"/>
    </w:rPr>
  </w:style>
  <w:style w:type="paragraph" w:styleId="687">
    <w:name w:val="Heading 5"/>
    <w:basedOn w:val="847"/>
    <w:next w:val="847"/>
    <w:link w:val="68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8">
    <w:name w:val="Heading 5 Char"/>
    <w:basedOn w:val="849"/>
    <w:link w:val="687"/>
    <w:uiPriority w:val="9"/>
    <w:rPr>
      <w:rFonts w:ascii="Arial" w:hAnsi="Arial" w:eastAsia="Arial" w:cs="Arial"/>
      <w:b/>
      <w:bCs/>
      <w:sz w:val="24"/>
      <w:szCs w:val="24"/>
    </w:rPr>
  </w:style>
  <w:style w:type="paragraph" w:styleId="689">
    <w:name w:val="Heading 6"/>
    <w:basedOn w:val="847"/>
    <w:next w:val="847"/>
    <w:link w:val="69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0">
    <w:name w:val="Heading 6 Char"/>
    <w:basedOn w:val="849"/>
    <w:link w:val="689"/>
    <w:uiPriority w:val="9"/>
    <w:rPr>
      <w:rFonts w:ascii="Arial" w:hAnsi="Arial" w:eastAsia="Arial" w:cs="Arial"/>
      <w:b/>
      <w:bCs/>
      <w:sz w:val="22"/>
      <w:szCs w:val="22"/>
    </w:rPr>
  </w:style>
  <w:style w:type="paragraph" w:styleId="691">
    <w:name w:val="Heading 7"/>
    <w:basedOn w:val="847"/>
    <w:next w:val="847"/>
    <w:link w:val="69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2">
    <w:name w:val="Heading 7 Char"/>
    <w:basedOn w:val="849"/>
    <w:link w:val="69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3">
    <w:name w:val="Heading 8"/>
    <w:basedOn w:val="847"/>
    <w:next w:val="847"/>
    <w:link w:val="69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4">
    <w:name w:val="Heading 8 Char"/>
    <w:basedOn w:val="849"/>
    <w:link w:val="693"/>
    <w:uiPriority w:val="9"/>
    <w:rPr>
      <w:rFonts w:ascii="Arial" w:hAnsi="Arial" w:eastAsia="Arial" w:cs="Arial"/>
      <w:i/>
      <w:iCs/>
      <w:sz w:val="22"/>
      <w:szCs w:val="22"/>
    </w:rPr>
  </w:style>
  <w:style w:type="paragraph" w:styleId="695">
    <w:name w:val="Heading 9"/>
    <w:basedOn w:val="847"/>
    <w:next w:val="847"/>
    <w:link w:val="69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6">
    <w:name w:val="Heading 9 Char"/>
    <w:basedOn w:val="849"/>
    <w:link w:val="695"/>
    <w:uiPriority w:val="9"/>
    <w:rPr>
      <w:rFonts w:ascii="Arial" w:hAnsi="Arial" w:eastAsia="Arial" w:cs="Arial"/>
      <w:i/>
      <w:iCs/>
      <w:sz w:val="21"/>
      <w:szCs w:val="21"/>
    </w:rPr>
  </w:style>
  <w:style w:type="character" w:styleId="697">
    <w:name w:val="Title Char"/>
    <w:basedOn w:val="849"/>
    <w:link w:val="868"/>
    <w:uiPriority w:val="10"/>
    <w:rPr>
      <w:sz w:val="48"/>
      <w:szCs w:val="48"/>
    </w:rPr>
  </w:style>
  <w:style w:type="paragraph" w:styleId="698">
    <w:name w:val="Subtitle"/>
    <w:basedOn w:val="847"/>
    <w:next w:val="847"/>
    <w:link w:val="699"/>
    <w:uiPriority w:val="11"/>
    <w:qFormat/>
    <w:pPr>
      <w:spacing w:before="200" w:after="200"/>
    </w:pPr>
    <w:rPr>
      <w:sz w:val="24"/>
      <w:szCs w:val="24"/>
    </w:rPr>
  </w:style>
  <w:style w:type="character" w:styleId="699">
    <w:name w:val="Subtitle Char"/>
    <w:basedOn w:val="849"/>
    <w:link w:val="698"/>
    <w:uiPriority w:val="11"/>
    <w:rPr>
      <w:sz w:val="24"/>
      <w:szCs w:val="24"/>
    </w:rPr>
  </w:style>
  <w:style w:type="paragraph" w:styleId="700">
    <w:name w:val="Quote"/>
    <w:basedOn w:val="847"/>
    <w:next w:val="847"/>
    <w:link w:val="701"/>
    <w:uiPriority w:val="29"/>
    <w:qFormat/>
    <w:pPr>
      <w:ind w:left="720" w:right="720"/>
    </w:pPr>
    <w:rPr>
      <w:i/>
    </w:rPr>
  </w:style>
  <w:style w:type="character" w:styleId="701">
    <w:name w:val="Quote Char"/>
    <w:link w:val="700"/>
    <w:uiPriority w:val="29"/>
    <w:rPr>
      <w:i/>
    </w:rPr>
  </w:style>
  <w:style w:type="paragraph" w:styleId="702">
    <w:name w:val="Intense Quote"/>
    <w:basedOn w:val="847"/>
    <w:next w:val="847"/>
    <w:link w:val="70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3">
    <w:name w:val="Intense Quote Char"/>
    <w:link w:val="702"/>
    <w:uiPriority w:val="30"/>
    <w:rPr>
      <w:i/>
    </w:rPr>
  </w:style>
  <w:style w:type="character" w:styleId="704">
    <w:name w:val="Header Char"/>
    <w:basedOn w:val="849"/>
    <w:link w:val="860"/>
    <w:uiPriority w:val="99"/>
  </w:style>
  <w:style w:type="character" w:styleId="705">
    <w:name w:val="Footer Char"/>
    <w:basedOn w:val="849"/>
    <w:link w:val="862"/>
    <w:uiPriority w:val="99"/>
  </w:style>
  <w:style w:type="character" w:styleId="706">
    <w:name w:val="Caption Char"/>
    <w:basedOn w:val="877"/>
    <w:link w:val="862"/>
    <w:uiPriority w:val="99"/>
  </w:style>
  <w:style w:type="table" w:styleId="707">
    <w:name w:val="Table Grid Light"/>
    <w:basedOn w:val="85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>
    <w:name w:val="Plain Table 1"/>
    <w:basedOn w:val="85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2"/>
    <w:basedOn w:val="85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1">
    <w:name w:val="Plain Table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Plain Table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3">
    <w:name w:val="Grid Table 1 Light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4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5">
    <w:name w:val="Grid Table 4 - Accent 1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6">
    <w:name w:val="Grid Table 4 - Accent 2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7">
    <w:name w:val="Grid Table 4 - Accent 3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8">
    <w:name w:val="Grid Table 4 - Accent 4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9">
    <w:name w:val="Grid Table 4 - Accent 5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0">
    <w:name w:val="Grid Table 4 - Accent 6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1">
    <w:name w:val="Grid Table 5 Dark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2">
    <w:name w:val="Grid Table 5 Dark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43">
    <w:name w:val="Grid Table 5 Dark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45">
    <w:name w:val="Grid Table 5 Dark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46">
    <w:name w:val="Grid Table 5 Dark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48">
    <w:name w:val="Grid Table 6 Colorful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9">
    <w:name w:val="Grid Table 6 Colorful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0">
    <w:name w:val="Grid Table 6 Colorful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1">
    <w:name w:val="Grid Table 6 Colorful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2">
    <w:name w:val="Grid Table 6 Colorful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3">
    <w:name w:val="Grid Table 6 Colorful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4">
    <w:name w:val="Grid Table 6 Colorful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7 Colorful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0">
    <w:name w:val="List Table 2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1">
    <w:name w:val="List Table 2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2">
    <w:name w:val="List Table 2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3">
    <w:name w:val="List Table 2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4">
    <w:name w:val="List Table 2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5">
    <w:name w:val="List Table 2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6">
    <w:name w:val="List Table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5 Dark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6 Colorful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8">
    <w:name w:val="List Table 6 Colorful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9">
    <w:name w:val="List Table 6 Colorful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0">
    <w:name w:val="List Table 6 Colorful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1">
    <w:name w:val="List Table 6 Colorful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2">
    <w:name w:val="List Table 6 Colorful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3">
    <w:name w:val="List Table 6 Colorful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4">
    <w:name w:val="List Table 7 Colorful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5">
    <w:name w:val="List Table 7 Colorful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06">
    <w:name w:val="List Table 7 Colorful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7">
    <w:name w:val="List Table 7 Colorful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8">
    <w:name w:val="List Table 7 Colorful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9">
    <w:name w:val="List Table 7 Colorful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10">
    <w:name w:val="List Table 7 Colorful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1">
    <w:name w:val="Lined - Accent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2">
    <w:name w:val="Lined - Accent 1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3">
    <w:name w:val="Lined - Accent 2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4">
    <w:name w:val="Lined - Accent 3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5">
    <w:name w:val="Lined - Accent 4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6">
    <w:name w:val="Lined - Accent 5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7">
    <w:name w:val="Lined - Accent 6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8">
    <w:name w:val="Bordered &amp; Lined - Accent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9">
    <w:name w:val="Bordered &amp; Lined - Accent 1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20">
    <w:name w:val="Bordered &amp; Lined - Accent 2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1">
    <w:name w:val="Bordered &amp; Lined - Accent 3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2">
    <w:name w:val="Bordered &amp; Lined - Accent 4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3">
    <w:name w:val="Bordered &amp; Lined - Accent 5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4">
    <w:name w:val="Bordered &amp; Lined - Accent 6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5">
    <w:name w:val="Bordered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6">
    <w:name w:val="Bordered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7">
    <w:name w:val="Bordered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8">
    <w:name w:val="Bordered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9">
    <w:name w:val="Bordered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0">
    <w:name w:val="Bordered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1">
    <w:name w:val="Bordered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2">
    <w:name w:val="Footnote Text Char"/>
    <w:link w:val="879"/>
    <w:uiPriority w:val="99"/>
    <w:rPr>
      <w:sz w:val="18"/>
    </w:rPr>
  </w:style>
  <w:style w:type="paragraph" w:styleId="833">
    <w:name w:val="endnote text"/>
    <w:basedOn w:val="847"/>
    <w:link w:val="834"/>
    <w:uiPriority w:val="99"/>
    <w:semiHidden/>
    <w:unhideWhenUsed/>
    <w:pPr>
      <w:spacing w:after="0" w:line="240" w:lineRule="auto"/>
    </w:pPr>
    <w:rPr>
      <w:sz w:val="20"/>
    </w:rPr>
  </w:style>
  <w:style w:type="character" w:styleId="834">
    <w:name w:val="Endnote Text Char"/>
    <w:link w:val="833"/>
    <w:uiPriority w:val="99"/>
    <w:rPr>
      <w:sz w:val="20"/>
    </w:rPr>
  </w:style>
  <w:style w:type="character" w:styleId="835">
    <w:name w:val="endnote reference"/>
    <w:basedOn w:val="849"/>
    <w:uiPriority w:val="99"/>
    <w:semiHidden/>
    <w:unhideWhenUsed/>
    <w:rPr>
      <w:vertAlign w:val="superscript"/>
    </w:rPr>
  </w:style>
  <w:style w:type="paragraph" w:styleId="836">
    <w:name w:val="toc 1"/>
    <w:basedOn w:val="847"/>
    <w:next w:val="847"/>
    <w:uiPriority w:val="39"/>
    <w:unhideWhenUsed/>
    <w:pPr>
      <w:ind w:left="0" w:right="0" w:firstLine="0"/>
      <w:spacing w:after="57"/>
    </w:pPr>
  </w:style>
  <w:style w:type="paragraph" w:styleId="837">
    <w:name w:val="toc 2"/>
    <w:basedOn w:val="847"/>
    <w:next w:val="847"/>
    <w:uiPriority w:val="39"/>
    <w:unhideWhenUsed/>
    <w:pPr>
      <w:ind w:left="283" w:right="0" w:firstLine="0"/>
      <w:spacing w:after="57"/>
    </w:pPr>
  </w:style>
  <w:style w:type="paragraph" w:styleId="838">
    <w:name w:val="toc 3"/>
    <w:basedOn w:val="847"/>
    <w:next w:val="847"/>
    <w:uiPriority w:val="39"/>
    <w:unhideWhenUsed/>
    <w:pPr>
      <w:ind w:left="567" w:right="0" w:firstLine="0"/>
      <w:spacing w:after="57"/>
    </w:pPr>
  </w:style>
  <w:style w:type="paragraph" w:styleId="839">
    <w:name w:val="toc 4"/>
    <w:basedOn w:val="847"/>
    <w:next w:val="847"/>
    <w:uiPriority w:val="39"/>
    <w:unhideWhenUsed/>
    <w:pPr>
      <w:ind w:left="850" w:right="0" w:firstLine="0"/>
      <w:spacing w:after="57"/>
    </w:pPr>
  </w:style>
  <w:style w:type="paragraph" w:styleId="840">
    <w:name w:val="toc 5"/>
    <w:basedOn w:val="847"/>
    <w:next w:val="847"/>
    <w:uiPriority w:val="39"/>
    <w:unhideWhenUsed/>
    <w:pPr>
      <w:ind w:left="1134" w:right="0" w:firstLine="0"/>
      <w:spacing w:after="57"/>
    </w:pPr>
  </w:style>
  <w:style w:type="paragraph" w:styleId="841">
    <w:name w:val="toc 6"/>
    <w:basedOn w:val="847"/>
    <w:next w:val="847"/>
    <w:uiPriority w:val="39"/>
    <w:unhideWhenUsed/>
    <w:pPr>
      <w:ind w:left="1417" w:right="0" w:firstLine="0"/>
      <w:spacing w:after="57"/>
    </w:pPr>
  </w:style>
  <w:style w:type="paragraph" w:styleId="842">
    <w:name w:val="toc 7"/>
    <w:basedOn w:val="847"/>
    <w:next w:val="847"/>
    <w:uiPriority w:val="39"/>
    <w:unhideWhenUsed/>
    <w:pPr>
      <w:ind w:left="1701" w:right="0" w:firstLine="0"/>
      <w:spacing w:after="57"/>
    </w:pPr>
  </w:style>
  <w:style w:type="paragraph" w:styleId="843">
    <w:name w:val="toc 8"/>
    <w:basedOn w:val="847"/>
    <w:next w:val="847"/>
    <w:uiPriority w:val="39"/>
    <w:unhideWhenUsed/>
    <w:pPr>
      <w:ind w:left="1984" w:right="0" w:firstLine="0"/>
      <w:spacing w:after="57"/>
    </w:pPr>
  </w:style>
  <w:style w:type="paragraph" w:styleId="844">
    <w:name w:val="toc 9"/>
    <w:basedOn w:val="847"/>
    <w:next w:val="847"/>
    <w:uiPriority w:val="39"/>
    <w:unhideWhenUsed/>
    <w:pPr>
      <w:ind w:left="2268" w:right="0" w:firstLine="0"/>
      <w:spacing w:after="57"/>
    </w:pPr>
  </w:style>
  <w:style w:type="paragraph" w:styleId="845">
    <w:name w:val="TOC Heading"/>
    <w:uiPriority w:val="39"/>
    <w:unhideWhenUsed/>
  </w:style>
  <w:style w:type="paragraph" w:styleId="846">
    <w:name w:val="table of figures"/>
    <w:basedOn w:val="847"/>
    <w:next w:val="847"/>
    <w:uiPriority w:val="99"/>
    <w:unhideWhenUsed/>
    <w:pPr>
      <w:spacing w:after="0" w:afterAutospacing="0"/>
    </w:pPr>
  </w:style>
  <w:style w:type="paragraph" w:styleId="847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848">
    <w:name w:val="Heading 1"/>
    <w:basedOn w:val="847"/>
    <w:next w:val="847"/>
    <w:link w:val="865"/>
    <w:uiPriority w:val="99"/>
    <w:qFormat/>
    <w:pPr>
      <w:jc w:val="right"/>
      <w:keepNext/>
      <w:spacing w:after="0" w:line="240" w:lineRule="auto"/>
      <w:outlineLvl w:val="0"/>
    </w:pPr>
    <w:rPr>
      <w:rFonts w:ascii="Times New Roman" w:hAnsi="Times New Roman" w:eastAsia="Arial Unicode MS"/>
      <w:b/>
      <w:bCs/>
      <w:sz w:val="24"/>
      <w:szCs w:val="24"/>
      <w:lang w:eastAsia="ru-RU"/>
    </w:rPr>
  </w:style>
  <w:style w:type="character" w:styleId="849" w:default="1">
    <w:name w:val="Default Paragraph Font"/>
    <w:uiPriority w:val="1"/>
    <w:semiHidden/>
    <w:unhideWhenUsed/>
  </w:style>
  <w:style w:type="table" w:styleId="85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1" w:default="1">
    <w:name w:val="No List"/>
    <w:uiPriority w:val="99"/>
    <w:semiHidden/>
    <w:unhideWhenUsed/>
  </w:style>
  <w:style w:type="paragraph" w:styleId="852" w:customStyle="1">
    <w:name w:val="Знак"/>
    <w:basedOn w:val="847"/>
    <w:pPr>
      <w:spacing w:after="160" w:line="240" w:lineRule="exact"/>
    </w:pPr>
    <w:rPr>
      <w:rFonts w:ascii="Verdana" w:hAnsi="Verdana" w:eastAsia="Times New Roman"/>
      <w:sz w:val="20"/>
      <w:szCs w:val="20"/>
      <w:lang w:val="en-US"/>
    </w:rPr>
  </w:style>
  <w:style w:type="paragraph" w:styleId="853">
    <w:name w:val="Balloon Text"/>
    <w:basedOn w:val="847"/>
    <w:link w:val="854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styleId="854" w:customStyle="1">
    <w:name w:val="Текст выноски Знак"/>
    <w:link w:val="853"/>
    <w:uiPriority w:val="99"/>
    <w:semiHidden/>
    <w:rPr>
      <w:rFonts w:ascii="Tahoma" w:hAnsi="Tahoma" w:cs="Tahoma"/>
      <w:sz w:val="16"/>
      <w:szCs w:val="16"/>
    </w:rPr>
  </w:style>
  <w:style w:type="paragraph" w:styleId="855">
    <w:name w:val="Normal (Web)"/>
    <w:basedOn w:val="847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856">
    <w:name w:val="Table Grid"/>
    <w:basedOn w:val="850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57">
    <w:name w:val="Hyperlink"/>
    <w:unhideWhenUsed/>
    <w:rPr>
      <w:color w:val="0000ff"/>
      <w:u w:val="single"/>
    </w:rPr>
  </w:style>
  <w:style w:type="character" w:styleId="858" w:customStyle="1">
    <w:name w:val="newslist"/>
  </w:style>
  <w:style w:type="character" w:styleId="859" w:customStyle="1">
    <w:name w:val="scayt-misspell"/>
  </w:style>
  <w:style w:type="paragraph" w:styleId="860">
    <w:name w:val="Header"/>
    <w:basedOn w:val="847"/>
    <w:link w:val="86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61" w:customStyle="1">
    <w:name w:val="Верхний колонтитул Знак"/>
    <w:link w:val="860"/>
    <w:uiPriority w:val="99"/>
    <w:rPr>
      <w:sz w:val="22"/>
      <w:szCs w:val="22"/>
      <w:lang w:eastAsia="en-US"/>
    </w:rPr>
  </w:style>
  <w:style w:type="paragraph" w:styleId="862">
    <w:name w:val="Footer"/>
    <w:basedOn w:val="847"/>
    <w:link w:val="86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63" w:customStyle="1">
    <w:name w:val="Нижний колонтитул Знак"/>
    <w:link w:val="862"/>
    <w:uiPriority w:val="99"/>
    <w:rPr>
      <w:sz w:val="22"/>
      <w:szCs w:val="22"/>
      <w:lang w:eastAsia="en-US"/>
    </w:rPr>
  </w:style>
  <w:style w:type="paragraph" w:styleId="864">
    <w:name w:val="No Spacing"/>
    <w:uiPriority w:val="1"/>
    <w:qFormat/>
    <w:rPr>
      <w:rFonts w:eastAsia="Times New Roman"/>
      <w:sz w:val="22"/>
      <w:szCs w:val="22"/>
    </w:rPr>
  </w:style>
  <w:style w:type="character" w:styleId="865" w:customStyle="1">
    <w:name w:val="Заголовок 1 Знак"/>
    <w:basedOn w:val="849"/>
    <w:link w:val="848"/>
    <w:uiPriority w:val="99"/>
    <w:rPr>
      <w:rFonts w:ascii="Times New Roman" w:hAnsi="Times New Roman" w:eastAsia="Arial Unicode MS"/>
      <w:b/>
      <w:bCs/>
      <w:sz w:val="24"/>
      <w:szCs w:val="24"/>
    </w:rPr>
  </w:style>
  <w:style w:type="paragraph" w:styleId="866">
    <w:name w:val="Body Text 3"/>
    <w:basedOn w:val="847"/>
    <w:link w:val="867"/>
    <w:uiPriority w:val="99"/>
    <w:pPr>
      <w:spacing w:after="0" w:line="240" w:lineRule="auto"/>
    </w:pPr>
    <w:rPr>
      <w:rFonts w:ascii="Times New Roman" w:hAnsi="Times New Roman" w:eastAsia="Times New Roman"/>
      <w:b/>
      <w:bCs/>
      <w:sz w:val="24"/>
      <w:szCs w:val="24"/>
      <w:lang w:eastAsia="ru-RU"/>
    </w:rPr>
  </w:style>
  <w:style w:type="character" w:styleId="867" w:customStyle="1">
    <w:name w:val="Основной текст 3 Знак"/>
    <w:basedOn w:val="849"/>
    <w:link w:val="866"/>
    <w:uiPriority w:val="99"/>
    <w:rPr>
      <w:rFonts w:ascii="Times New Roman" w:hAnsi="Times New Roman" w:eastAsia="Times New Roman"/>
      <w:b/>
      <w:bCs/>
      <w:sz w:val="24"/>
      <w:szCs w:val="24"/>
    </w:rPr>
  </w:style>
  <w:style w:type="paragraph" w:styleId="868">
    <w:name w:val="Title"/>
    <w:basedOn w:val="847"/>
    <w:link w:val="869"/>
    <w:qFormat/>
    <w:pPr>
      <w:jc w:val="center"/>
      <w:spacing w:after="0" w:line="240" w:lineRule="auto"/>
    </w:pPr>
    <w:rPr>
      <w:rFonts w:ascii="Times New Roman" w:hAnsi="Times New Roman" w:eastAsia="Times New Roman"/>
      <w:b/>
      <w:sz w:val="36"/>
      <w:szCs w:val="20"/>
      <w:lang w:eastAsia="ru-RU"/>
    </w:rPr>
  </w:style>
  <w:style w:type="character" w:styleId="869" w:customStyle="1">
    <w:name w:val="Название Знак"/>
    <w:basedOn w:val="849"/>
    <w:link w:val="868"/>
    <w:rPr>
      <w:rFonts w:ascii="Times New Roman" w:hAnsi="Times New Roman" w:eastAsia="Times New Roman"/>
      <w:b/>
      <w:sz w:val="36"/>
    </w:rPr>
  </w:style>
  <w:style w:type="paragraph" w:styleId="870" w:customStyle="1">
    <w:name w:val="ConsPlusNormal"/>
    <w:rPr>
      <w:rFonts w:ascii="Times New Roman" w:hAnsi="Times New Roman"/>
      <w:sz w:val="24"/>
      <w:szCs w:val="24"/>
    </w:rPr>
  </w:style>
  <w:style w:type="paragraph" w:styleId="871" w:customStyle="1">
    <w:name w:val="Default"/>
    <w:rPr>
      <w:rFonts w:ascii="Times New Roman" w:hAnsi="Times New Roman"/>
      <w:color w:val="000000"/>
      <w:sz w:val="24"/>
      <w:szCs w:val="24"/>
    </w:rPr>
  </w:style>
  <w:style w:type="character" w:styleId="872" w:customStyle="1">
    <w:name w:val="pre"/>
    <w:basedOn w:val="849"/>
  </w:style>
  <w:style w:type="paragraph" w:styleId="873">
    <w:name w:val="List Paragraph"/>
    <w:basedOn w:val="847"/>
    <w:link w:val="876"/>
    <w:uiPriority w:val="34"/>
    <w:qFormat/>
    <w:pPr>
      <w:contextualSpacing/>
      <w:ind w:left="720"/>
    </w:pPr>
  </w:style>
  <w:style w:type="paragraph" w:styleId="874">
    <w:name w:val="Body Text"/>
    <w:basedOn w:val="847"/>
    <w:link w:val="875"/>
    <w:uiPriority w:val="99"/>
    <w:semiHidden/>
    <w:unhideWhenUsed/>
    <w:pPr>
      <w:spacing w:after="120"/>
    </w:pPr>
    <w:rPr>
      <w:rFonts w:cs="Calibri"/>
    </w:rPr>
  </w:style>
  <w:style w:type="character" w:styleId="875" w:customStyle="1">
    <w:name w:val="Основной текст Знак"/>
    <w:basedOn w:val="849"/>
    <w:link w:val="874"/>
    <w:uiPriority w:val="99"/>
    <w:semiHidden/>
    <w:rPr>
      <w:rFonts w:cs="Calibri"/>
      <w:sz w:val="22"/>
      <w:szCs w:val="22"/>
      <w:lang w:eastAsia="en-US"/>
    </w:rPr>
  </w:style>
  <w:style w:type="character" w:styleId="876" w:customStyle="1">
    <w:name w:val="Абзац списка Знак"/>
    <w:link w:val="873"/>
    <w:uiPriority w:val="34"/>
    <w:rPr>
      <w:sz w:val="22"/>
      <w:szCs w:val="22"/>
      <w:lang w:eastAsia="en-US"/>
    </w:rPr>
  </w:style>
  <w:style w:type="paragraph" w:styleId="877">
    <w:name w:val="Caption"/>
    <w:basedOn w:val="847"/>
    <w:next w:val="847"/>
    <w:qFormat/>
    <w:pPr>
      <w:jc w:val="center"/>
      <w:spacing w:after="0" w:line="240" w:lineRule="auto"/>
    </w:pPr>
    <w:rPr>
      <w:rFonts w:ascii="Times New Roman" w:hAnsi="Times New Roman" w:eastAsia="Times New Roman"/>
      <w:b/>
      <w:sz w:val="32"/>
      <w:szCs w:val="20"/>
      <w:lang w:eastAsia="ru-RU"/>
    </w:rPr>
  </w:style>
  <w:style w:type="character" w:styleId="878" w:customStyle="1">
    <w:name w:val="Интернет-ссылка"/>
    <w:rPr>
      <w:color w:val="0000ff"/>
      <w:u w:val="single"/>
    </w:rPr>
  </w:style>
  <w:style w:type="paragraph" w:styleId="879">
    <w:name w:val="footnote text"/>
    <w:basedOn w:val="847"/>
    <w:link w:val="880"/>
    <w:pPr>
      <w:ind w:left="339" w:hanging="339"/>
      <w:suppressLineNumbers/>
    </w:pPr>
    <w:rPr>
      <w:rFonts w:asciiTheme="minorHAnsi" w:hAnsiTheme="minorHAnsi" w:eastAsiaTheme="minorHAnsi" w:cstheme="minorBidi"/>
      <w:sz w:val="20"/>
      <w:szCs w:val="20"/>
    </w:rPr>
  </w:style>
  <w:style w:type="character" w:styleId="880" w:customStyle="1">
    <w:name w:val="Текст сноски Знак"/>
    <w:basedOn w:val="849"/>
    <w:link w:val="879"/>
    <w:rPr>
      <w:rFonts w:asciiTheme="minorHAnsi" w:hAnsiTheme="minorHAnsi" w:eastAsiaTheme="minorHAnsi" w:cstheme="minorBidi"/>
      <w:lang w:eastAsia="en-US"/>
    </w:rPr>
  </w:style>
  <w:style w:type="character" w:styleId="881">
    <w:name w:val="footnote reference"/>
    <w:basedOn w:val="849"/>
    <w:uiPriority w:val="99"/>
    <w:semiHidden/>
    <w:unhideWhenUsed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7CFF6-3C67-4ED9-932C-D8005A31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ДСР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revision>8</cp:revision>
  <dcterms:created xsi:type="dcterms:W3CDTF">2023-04-14T10:19:00Z</dcterms:created>
  <dcterms:modified xsi:type="dcterms:W3CDTF">2024-02-09T05:39:48Z</dcterms:modified>
</cp:coreProperties>
</file>