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EB" w:rsidRDefault="004A22EB">
      <w:pPr>
        <w:pStyle w:val="a7"/>
        <w:spacing w:before="0" w:after="0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8pt;height:62.4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A22EB" w:rsidRDefault="00257088">
      <w:pPr>
        <w:pStyle w:val="a7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УРАЙ</w:t>
      </w:r>
    </w:p>
    <w:p w:rsidR="004A22EB" w:rsidRDefault="00257088"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4A22EB" w:rsidRDefault="00257088">
      <w:pPr>
        <w:pStyle w:val="Heading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 ГОРОДА УРАЙ</w:t>
      </w:r>
    </w:p>
    <w:p w:rsidR="004A22EB" w:rsidRDefault="002570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A22EB" w:rsidRDefault="004A22EB">
      <w:pPr>
        <w:pStyle w:val="af2"/>
        <w:ind w:left="0" w:firstLine="0"/>
        <w:rPr>
          <w:b/>
        </w:rPr>
      </w:pPr>
    </w:p>
    <w:p w:rsidR="004A22EB" w:rsidRDefault="00257088">
      <w:pPr>
        <w:tabs>
          <w:tab w:val="left" w:pos="7938"/>
        </w:tabs>
        <w:jc w:val="both"/>
      </w:pPr>
      <w:r>
        <w:t>от ________________</w:t>
      </w:r>
      <w:r>
        <w:tab/>
        <w:t>№______</w:t>
      </w:r>
    </w:p>
    <w:p w:rsidR="004A22EB" w:rsidRDefault="004A22EB">
      <w:pPr>
        <w:tabs>
          <w:tab w:val="left" w:pos="7938"/>
        </w:tabs>
        <w:jc w:val="both"/>
      </w:pPr>
    </w:p>
    <w:p w:rsidR="004A22EB" w:rsidRDefault="004A22EB">
      <w:pPr>
        <w:tabs>
          <w:tab w:val="left" w:pos="7938"/>
        </w:tabs>
        <w:jc w:val="both"/>
      </w:pPr>
    </w:p>
    <w:p w:rsidR="004A22EB" w:rsidRDefault="00257088">
      <w:pPr>
        <w:ind w:right="3968"/>
      </w:pPr>
      <w:r>
        <w:t xml:space="preserve">О внесении изменений в постановление администрации города Урай от 14.10.2019 №2498 </w:t>
      </w:r>
    </w:p>
    <w:p w:rsidR="004A22EB" w:rsidRDefault="00257088">
      <w:pPr>
        <w:ind w:right="3968"/>
      </w:pPr>
      <w:r>
        <w:t>«О системе показателей эффективности управления муниципальным имуществом города Урай»</w:t>
      </w:r>
    </w:p>
    <w:p w:rsidR="004A22EB" w:rsidRDefault="004A22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22EB" w:rsidRDefault="004A22E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22EB" w:rsidRDefault="00257088">
      <w:pPr>
        <w:ind w:firstLine="709"/>
        <w:jc w:val="both"/>
      </w:pPr>
      <w:proofErr w:type="gramStart"/>
      <w:r>
        <w:t xml:space="preserve">Руководствуясь приказом Департамента по управлению государственным имуществом Ханты-Мансийского автономного округа - </w:t>
      </w:r>
      <w:proofErr w:type="spellStart"/>
      <w:r>
        <w:t>Югры</w:t>
      </w:r>
      <w:proofErr w:type="spellEnd"/>
      <w:r>
        <w:t xml:space="preserve"> от 13.</w:t>
      </w:r>
      <w:r w:rsidRPr="00257088">
        <w:rPr>
          <w:color w:val="000000" w:themeColor="text1"/>
        </w:rPr>
        <w:t>11.2023 №13-Пр-1 «О внесении изменений в</w:t>
      </w:r>
      <w:r w:rsidRPr="00257088">
        <w:rPr>
          <w:color w:val="000000" w:themeColor="text1"/>
        </w:rPr>
        <w:t xml:space="preserve"> приказ </w:t>
      </w:r>
      <w:proofErr w:type="spellStart"/>
      <w:r w:rsidRPr="00257088">
        <w:rPr>
          <w:color w:val="000000" w:themeColor="text1"/>
        </w:rPr>
        <w:t>Депимущества</w:t>
      </w:r>
      <w:proofErr w:type="spellEnd"/>
      <w:r w:rsidRPr="00257088">
        <w:rPr>
          <w:color w:val="000000" w:themeColor="text1"/>
        </w:rPr>
        <w:t xml:space="preserve"> </w:t>
      </w:r>
      <w:proofErr w:type="spellStart"/>
      <w:r w:rsidRPr="00257088">
        <w:rPr>
          <w:color w:val="000000" w:themeColor="text1"/>
        </w:rPr>
        <w:t>Югры</w:t>
      </w:r>
      <w:proofErr w:type="spellEnd"/>
      <w:r w:rsidRPr="00257088">
        <w:rPr>
          <w:color w:val="000000" w:themeColor="text1"/>
        </w:rPr>
        <w:t xml:space="preserve"> от 16 сентября 2019 </w:t>
      </w:r>
      <w:r w:rsidRPr="00257088">
        <w:rPr>
          <w:color w:val="000000" w:themeColor="text1"/>
        </w:rPr>
        <w:t>года</w:t>
      </w:r>
      <w:r w:rsidRPr="00257088">
        <w:rPr>
          <w:color w:val="000000" w:themeColor="text1"/>
        </w:rPr>
        <w:t xml:space="preserve"> №13-Пр-2 «О системе показателей эффективности управления государственным имуществом</w:t>
      </w:r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>», в целях повышения эффективности и результативности деятельности по управлен</w:t>
      </w:r>
      <w:r>
        <w:t>ию муниципальным имуществом города Урай:</w:t>
      </w:r>
      <w:proofErr w:type="gramEnd"/>
    </w:p>
    <w:p w:rsidR="004A22EB" w:rsidRDefault="00257088">
      <w:pPr>
        <w:ind w:firstLine="709"/>
        <w:jc w:val="both"/>
      </w:pPr>
      <w:r>
        <w:t>1. Внести в постановление администрации города Урай от 14.10.2019 №2498 «О системе показателей эффективности управления муниципальным имуществом города Урай» следующие изменения:</w:t>
      </w:r>
    </w:p>
    <w:p w:rsidR="004A22EB" w:rsidRDefault="00257088">
      <w:pPr>
        <w:ind w:firstLine="709"/>
        <w:jc w:val="both"/>
      </w:pPr>
      <w:r>
        <w:t>1.1. В приложении 1:</w:t>
      </w:r>
    </w:p>
    <w:p w:rsidR="004A22EB" w:rsidRDefault="00257088">
      <w:pPr>
        <w:ind w:firstLine="709"/>
        <w:jc w:val="both"/>
      </w:pPr>
      <w:r>
        <w:t xml:space="preserve">1.1.1. Пункт 3 </w:t>
      </w:r>
      <w:r>
        <w:t>изложить в следующей редакции:</w:t>
      </w:r>
    </w:p>
    <w:p w:rsidR="004A22EB" w:rsidRDefault="00257088">
      <w:pPr>
        <w:ind w:firstLine="709"/>
        <w:jc w:val="both"/>
      </w:pPr>
      <w:r>
        <w:t>«3. Доля используемого недвижимого имущества в общем количестве недвижимого имущества города Урай.»;</w:t>
      </w:r>
    </w:p>
    <w:p w:rsidR="004A22EB" w:rsidRDefault="00257088">
      <w:pPr>
        <w:ind w:firstLine="709"/>
        <w:jc w:val="both"/>
      </w:pPr>
      <w:r>
        <w:t>1.1.2. В пункте 12 после слов «объектов недвижимого имущества» дополнить словами «(с учетом земельных участков)»;</w:t>
      </w:r>
    </w:p>
    <w:p w:rsidR="004A22EB" w:rsidRDefault="00257088">
      <w:pPr>
        <w:ind w:firstLine="709"/>
        <w:jc w:val="both"/>
      </w:pPr>
      <w:r>
        <w:t>1.1.3. Пун</w:t>
      </w:r>
      <w:r>
        <w:t>кт 13 изложить в следующей редакции:</w:t>
      </w:r>
    </w:p>
    <w:p w:rsidR="004A22EB" w:rsidRDefault="00257088">
      <w:pPr>
        <w:ind w:firstLine="709"/>
        <w:jc w:val="both"/>
      </w:pPr>
      <w:r>
        <w:t xml:space="preserve">«13. </w:t>
      </w:r>
      <w:proofErr w:type="gramStart"/>
      <w:r>
        <w:t>Доля представленного субъектам малого и среднего предпринимательства, социально ориентированным некоммерческим организациям и физическим лицам, не являющимся индивидуальными предпринимателями и применяющим специаль</w:t>
      </w:r>
      <w:r>
        <w:t>ный налоговый режим «Налог на профессиональный доход» муниципального недвижимого имущества города Урай, свободного от прав третьих лиц, включенного в перечни, формируемые комитетом по управлению муниципальным имуществом администрации города Урай.».</w:t>
      </w:r>
      <w:proofErr w:type="gramEnd"/>
    </w:p>
    <w:p w:rsidR="004A22EB" w:rsidRDefault="00257088">
      <w:pPr>
        <w:ind w:firstLine="709"/>
        <w:jc w:val="both"/>
      </w:pPr>
      <w:r>
        <w:t>1.2. В приложении 2:</w:t>
      </w:r>
    </w:p>
    <w:p w:rsidR="004A22EB" w:rsidRDefault="00257088">
      <w:pPr>
        <w:ind w:firstLine="709"/>
        <w:jc w:val="both"/>
      </w:pPr>
      <w:r>
        <w:t>1.2.1. Строку 3 изложить в следующей редакции:</w:t>
      </w:r>
    </w:p>
    <w:p w:rsidR="004A22EB" w:rsidRDefault="00257088">
      <w:pPr>
        <w:ind w:hanging="142"/>
        <w:jc w:val="both"/>
      </w:pPr>
      <w:r>
        <w:t>«</w:t>
      </w:r>
    </w:p>
    <w:tbl>
      <w:tblPr>
        <w:tblStyle w:val="af8"/>
        <w:tblW w:w="0" w:type="auto"/>
        <w:tblInd w:w="108" w:type="dxa"/>
        <w:tblLayout w:type="fixed"/>
        <w:tblLook w:val="04A0"/>
      </w:tblPr>
      <w:tblGrid>
        <w:gridCol w:w="567"/>
        <w:gridCol w:w="2801"/>
        <w:gridCol w:w="3260"/>
        <w:gridCol w:w="2943"/>
      </w:tblGrid>
      <w:tr w:rsidR="004A22EB">
        <w:tc>
          <w:tcPr>
            <w:tcW w:w="567" w:type="dxa"/>
          </w:tcPr>
          <w:p w:rsidR="004A22EB" w:rsidRDefault="00257088">
            <w:pPr>
              <w:jc w:val="center"/>
            </w:pPr>
            <w:r>
              <w:t>3.</w:t>
            </w:r>
          </w:p>
        </w:tc>
        <w:tc>
          <w:tcPr>
            <w:tcW w:w="2801" w:type="dxa"/>
          </w:tcPr>
          <w:p w:rsidR="004A22EB" w:rsidRDefault="00257088">
            <w:pPr>
              <w:jc w:val="center"/>
            </w:pPr>
            <w:r>
              <w:t>Доля используемого недвижимого имущества в общем количестве недвижимого имущества города Урай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260" w:type="dxa"/>
          </w:tcPr>
          <w:p w:rsidR="004A22EB" w:rsidRDefault="002570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Дии</w:t>
            </w:r>
            <w:proofErr w:type="spellEnd"/>
            <w:r>
              <w:rPr>
                <w:b/>
              </w:rPr>
              <w:t xml:space="preserve"> = (</w:t>
            </w:r>
            <w:proofErr w:type="spellStart"/>
            <w:r>
              <w:rPr>
                <w:b/>
              </w:rPr>
              <w:t>Фии</w:t>
            </w:r>
            <w:proofErr w:type="spellEnd"/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и) * 100</w:t>
            </w:r>
          </w:p>
          <w:p w:rsidR="004A22EB" w:rsidRDefault="002570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4A22EB" w:rsidRDefault="00257088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Дии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–д</w:t>
            </w:r>
            <w:proofErr w:type="gramEnd"/>
            <w:r>
              <w:rPr>
                <w:rFonts w:eastAsia="Calibri"/>
              </w:rPr>
              <w:t xml:space="preserve">оля используемого недвижимого имущества в общем количестве </w:t>
            </w:r>
            <w:r>
              <w:rPr>
                <w:rFonts w:eastAsia="Calibri"/>
              </w:rPr>
              <w:lastRenderedPageBreak/>
              <w:t>недвижимого имущества города Урай.</w:t>
            </w:r>
          </w:p>
          <w:p w:rsidR="004A22EB" w:rsidRDefault="00257088">
            <w:pPr>
              <w:jc w:val="center"/>
            </w:pPr>
            <w:proofErr w:type="spellStart"/>
            <w:r>
              <w:rPr>
                <w:rFonts w:eastAsia="Calibri"/>
                <w:b/>
              </w:rPr>
              <w:t>Фии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– фактическое количество используемого недвижимого имущества (за исключением земельных участков, сетей, сооружений, дорог, объектов незавершенного строительст</w:t>
            </w:r>
            <w:r>
              <w:rPr>
                <w:rFonts w:eastAsia="Calibri"/>
              </w:rPr>
              <w:t xml:space="preserve">ва и имущества, принятого в собственность города Урай с целью дальнейшей передачи бюджетам других уровней).    </w:t>
            </w:r>
            <w:r>
              <w:rPr>
                <w:rFonts w:eastAsia="Calibri"/>
                <w:b/>
              </w:rPr>
              <w:t xml:space="preserve">Ни </w:t>
            </w:r>
            <w:r>
              <w:rPr>
                <w:rFonts w:eastAsia="Calibri"/>
              </w:rPr>
              <w:t xml:space="preserve">– количество недвижимого имущества (за исключением земельных участков и имущества принятого в собственность  города Урай  с целью  дальнейшей </w:t>
            </w:r>
            <w:r>
              <w:rPr>
                <w:rFonts w:eastAsia="Calibri"/>
              </w:rPr>
              <w:t>передачи   бюджетам других уровней).</w:t>
            </w:r>
          </w:p>
        </w:tc>
        <w:tc>
          <w:tcPr>
            <w:tcW w:w="2943" w:type="dxa"/>
          </w:tcPr>
          <w:p w:rsidR="004A22EB" w:rsidRDefault="00257088">
            <w:pPr>
              <w:jc w:val="center"/>
            </w:pPr>
            <w:proofErr w:type="gramStart"/>
            <w:r>
              <w:lastRenderedPageBreak/>
              <w:t>Целевым</w:t>
            </w:r>
            <w:proofErr w:type="gramEnd"/>
            <w:r>
              <w:t xml:space="preserve"> значение выступает увеличение доли используемого недвижимого имущества.  </w:t>
            </w:r>
          </w:p>
          <w:p w:rsidR="004A22EB" w:rsidRDefault="00257088">
            <w:pPr>
              <w:jc w:val="center"/>
            </w:pPr>
            <w:r>
              <w:t xml:space="preserve">Максимальное значение - 1 </w:t>
            </w:r>
            <w:r>
              <w:lastRenderedPageBreak/>
              <w:t>балл.</w:t>
            </w:r>
          </w:p>
          <w:p w:rsidR="004A22EB" w:rsidRDefault="00257088">
            <w:pPr>
              <w:jc w:val="center"/>
            </w:pPr>
            <w:r>
              <w:t>При достижении показателя 100%  присваивается 1 балл.</w:t>
            </w:r>
          </w:p>
          <w:p w:rsidR="004A22EB" w:rsidRDefault="00257088">
            <w:pPr>
              <w:jc w:val="center"/>
            </w:pPr>
            <w:r>
              <w:t xml:space="preserve">В случае достижения значения показателя менее 100% </w:t>
            </w:r>
            <w:r>
              <w:t>до 97%</w:t>
            </w:r>
          </w:p>
          <w:p w:rsidR="004A22EB" w:rsidRDefault="00257088">
            <w:pPr>
              <w:jc w:val="center"/>
            </w:pPr>
            <w:r>
              <w:t>присваивается 0,75 балла.</w:t>
            </w:r>
          </w:p>
          <w:p w:rsidR="004A22EB" w:rsidRDefault="00257088">
            <w:pPr>
              <w:jc w:val="center"/>
            </w:pPr>
            <w:r>
              <w:t>В случае достижения  показателя менее  97% до 90% присваивается 0,5 балла.</w:t>
            </w:r>
          </w:p>
          <w:p w:rsidR="004A22EB" w:rsidRDefault="00257088">
            <w:pPr>
              <w:jc w:val="center"/>
            </w:pPr>
            <w:r>
              <w:t>В случае достижения показателя  менее   90% до 80% присваивается 0,25 балла.</w:t>
            </w:r>
          </w:p>
          <w:p w:rsidR="004A22EB" w:rsidRDefault="00257088">
            <w:pPr>
              <w:jc w:val="center"/>
            </w:pPr>
            <w:r>
              <w:t>В случае достижения значения  показателя менее 80% присваивается - 0 ба</w:t>
            </w:r>
            <w:r>
              <w:t>ллов.</w:t>
            </w:r>
          </w:p>
        </w:tc>
      </w:tr>
    </w:tbl>
    <w:p w:rsidR="004A22EB" w:rsidRDefault="00257088">
      <w:pPr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                 ».</w:t>
      </w:r>
    </w:p>
    <w:p w:rsidR="004A22EB" w:rsidRDefault="00257088">
      <w:pPr>
        <w:ind w:firstLine="709"/>
        <w:jc w:val="both"/>
      </w:pPr>
      <w:r>
        <w:t>1.2.2. Строку 12 изложить в следующей редакции:</w:t>
      </w:r>
    </w:p>
    <w:p w:rsidR="004A22EB" w:rsidRDefault="00257088">
      <w:pPr>
        <w:jc w:val="both"/>
      </w:pPr>
      <w:r>
        <w:t>«</w:t>
      </w:r>
    </w:p>
    <w:tbl>
      <w:tblPr>
        <w:tblStyle w:val="af8"/>
        <w:tblW w:w="0" w:type="auto"/>
        <w:tblInd w:w="108" w:type="dxa"/>
        <w:tblLayout w:type="fixed"/>
        <w:tblLook w:val="04A0"/>
      </w:tblPr>
      <w:tblGrid>
        <w:gridCol w:w="533"/>
        <w:gridCol w:w="3225"/>
        <w:gridCol w:w="2976"/>
        <w:gridCol w:w="2785"/>
      </w:tblGrid>
      <w:tr w:rsidR="004A22EB">
        <w:tc>
          <w:tcPr>
            <w:tcW w:w="533" w:type="dxa"/>
          </w:tcPr>
          <w:p w:rsidR="004A22EB" w:rsidRDefault="00257088">
            <w:pPr>
              <w:jc w:val="center"/>
            </w:pPr>
            <w:r>
              <w:t>12</w:t>
            </w:r>
          </w:p>
        </w:tc>
        <w:tc>
          <w:tcPr>
            <w:tcW w:w="3225" w:type="dxa"/>
          </w:tcPr>
          <w:p w:rsidR="004A22EB" w:rsidRDefault="00257088">
            <w:pPr>
              <w:jc w:val="center"/>
            </w:pPr>
            <w:r>
              <w:rPr>
                <w:rFonts w:eastAsia="Calibri"/>
                <w:lang w:eastAsia="en-US"/>
              </w:rPr>
              <w:t>Доля договоров аренды объектов нед</w:t>
            </w:r>
            <w:r>
              <w:rPr>
                <w:rFonts w:eastAsia="Calibri"/>
                <w:lang w:eastAsia="en-US"/>
              </w:rPr>
              <w:t>вижимого имущества (с учетом земельных участков) с просроченной более чем на три периода задолженностью, по которым администрацией города Урай не проводились мероприятия по взысканию задолженности в судебном порядке или не направлялись досудебные претензии</w:t>
            </w:r>
            <w:proofErr w:type="gramStart"/>
            <w:r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2976" w:type="dxa"/>
          </w:tcPr>
          <w:p w:rsidR="004A22EB" w:rsidRDefault="0025708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Ддз=</w:t>
            </w:r>
            <w:proofErr w:type="spellEnd"/>
            <w:r>
              <w:rPr>
                <w:rFonts w:eastAsia="Calibri"/>
                <w:b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lang w:eastAsia="en-US"/>
              </w:rPr>
              <w:t>Кдаз</w:t>
            </w:r>
            <w:proofErr w:type="spellEnd"/>
            <w:r>
              <w:rPr>
                <w:rFonts w:eastAsia="Calibri"/>
                <w:b/>
                <w:lang w:eastAsia="en-US"/>
              </w:rPr>
              <w:t>/Кода) * 100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где: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Ддз</w:t>
            </w:r>
            <w:proofErr w:type="spellEnd"/>
            <w:r>
              <w:rPr>
                <w:rFonts w:eastAsia="Calibri"/>
                <w:lang w:eastAsia="en-US"/>
              </w:rPr>
              <w:t xml:space="preserve"> - доля договоров аренды объектов недвижимого имущества (с учетом земельных участков) с просроченной более чем на три периода задолженностью, по которым администрацией города Урай не проводились мероприятия по взысканию з</w:t>
            </w:r>
            <w:r>
              <w:rPr>
                <w:rFonts w:eastAsia="Calibri"/>
                <w:lang w:eastAsia="en-US"/>
              </w:rPr>
              <w:t>адолженности в судебном порядке или не направлялись досудебные претензии к общему количеству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заключенных договоров аренды недвижимого имущества.</w:t>
            </w:r>
            <w:proofErr w:type="gramEnd"/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Кдаз</w:t>
            </w:r>
            <w:proofErr w:type="spellEnd"/>
            <w:r>
              <w:rPr>
                <w:rFonts w:eastAsia="Calibri"/>
                <w:lang w:eastAsia="en-US"/>
              </w:rPr>
              <w:t xml:space="preserve"> – количество договоров аренды объектов недвижимого имущества (с учетом земельных участков) с просроченной </w:t>
            </w:r>
            <w:r>
              <w:rPr>
                <w:rFonts w:eastAsia="Calibri"/>
                <w:lang w:eastAsia="en-US"/>
              </w:rPr>
              <w:t>более чем на три периода задолженностью, по которым администрацией города Урай не проводились мероприятия по взысканию задолженности в судебном порядке или не направлялись досудебные претензии.</w:t>
            </w:r>
          </w:p>
          <w:p w:rsidR="004A22EB" w:rsidRDefault="00257088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Кода</w:t>
            </w:r>
            <w:r>
              <w:rPr>
                <w:rFonts w:eastAsia="Calibri"/>
                <w:lang w:eastAsia="en-US"/>
              </w:rPr>
              <w:t xml:space="preserve"> - общее количество заключенных договоров </w:t>
            </w:r>
            <w:r>
              <w:rPr>
                <w:rFonts w:eastAsia="Calibri"/>
                <w:lang w:eastAsia="en-US"/>
              </w:rPr>
              <w:lastRenderedPageBreak/>
              <w:t>аренды недвижимо</w:t>
            </w:r>
            <w:r>
              <w:rPr>
                <w:rFonts w:eastAsia="Calibri"/>
                <w:lang w:eastAsia="en-US"/>
              </w:rPr>
              <w:t>го имущества (с учетом земельных участков).</w:t>
            </w:r>
          </w:p>
        </w:tc>
        <w:tc>
          <w:tcPr>
            <w:tcW w:w="2785" w:type="dxa"/>
          </w:tcPr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Целевым значением выступает отсутствие договоров аренды объектов недвижимого имущества (с учетом земельных участков)  с просроченной более чем на три периода задолженностью, по которым администрацией города Урай </w:t>
            </w:r>
            <w:r>
              <w:rPr>
                <w:rFonts w:eastAsia="Calibri"/>
                <w:lang w:eastAsia="en-US"/>
              </w:rPr>
              <w:t>не проводились мероприятия по взысканию задолженности в судебном порядке или не направлялись досудебные претензии. Максимальное значение – 1 балл.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случае отсутствия договоров аренды объектов недвижимого имущества (с учетом земельных участков)  с просроче</w:t>
            </w:r>
            <w:r>
              <w:rPr>
                <w:rFonts w:eastAsia="Calibri"/>
                <w:lang w:eastAsia="en-US"/>
              </w:rPr>
              <w:t xml:space="preserve">нной более чем на три периода задолженностью, по которым администрацией города Урай не проводились мероприятия по взысканию задолженности в судебном порядке или не </w:t>
            </w:r>
            <w:proofErr w:type="gramStart"/>
            <w:r>
              <w:rPr>
                <w:rFonts w:eastAsia="Calibri"/>
                <w:lang w:eastAsia="en-US"/>
              </w:rPr>
              <w:t>направлялись досудебные претензии присваивается</w:t>
            </w:r>
            <w:proofErr w:type="gramEnd"/>
            <w:r>
              <w:rPr>
                <w:rFonts w:eastAsia="Calibri"/>
                <w:lang w:eastAsia="en-US"/>
              </w:rPr>
              <w:t xml:space="preserve"> 1 балл.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случае значения показателя </w:t>
            </w:r>
            <w:r>
              <w:t>свыше</w:t>
            </w:r>
            <w:r>
              <w:rPr>
                <w:rFonts w:eastAsia="Calibri"/>
                <w:lang w:eastAsia="en-US"/>
              </w:rPr>
              <w:t xml:space="preserve"> 0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до 5% присваивается 0,75 балла.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случае значения показателя свыше 5% до 8% присваивается 0,5 балла.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случае значения показателя свыше 8% до 10% присваивается 0,25 балла.</w:t>
            </w:r>
          </w:p>
          <w:p w:rsidR="004A22EB" w:rsidRDefault="00257088">
            <w:pPr>
              <w:jc w:val="center"/>
            </w:pPr>
            <w:r>
              <w:rPr>
                <w:rFonts w:eastAsia="Calibri"/>
                <w:lang w:eastAsia="en-US"/>
              </w:rPr>
              <w:t>В случае значения показателя свыше 10% присваивается 0 баллов.</w:t>
            </w:r>
          </w:p>
        </w:tc>
      </w:tr>
    </w:tbl>
    <w:p w:rsidR="004A22EB" w:rsidRDefault="00257088">
      <w:pPr>
        <w:ind w:left="7799" w:firstLine="709"/>
        <w:jc w:val="center"/>
      </w:pPr>
      <w:r>
        <w:lastRenderedPageBreak/>
        <w:t xml:space="preserve">           ».</w:t>
      </w:r>
    </w:p>
    <w:p w:rsidR="004A22EB" w:rsidRDefault="00257088">
      <w:pPr>
        <w:ind w:firstLine="709"/>
      </w:pPr>
      <w:r>
        <w:t>1.2.3. Строку 13 изложить в следующей редакции:</w:t>
      </w:r>
    </w:p>
    <w:p w:rsidR="004A22EB" w:rsidRDefault="00257088">
      <w:r>
        <w:t>«</w:t>
      </w:r>
    </w:p>
    <w:tbl>
      <w:tblPr>
        <w:tblStyle w:val="af8"/>
        <w:tblW w:w="0" w:type="auto"/>
        <w:tblInd w:w="108" w:type="dxa"/>
        <w:tblLayout w:type="fixed"/>
        <w:tblLook w:val="04A0"/>
      </w:tblPr>
      <w:tblGrid>
        <w:gridCol w:w="533"/>
        <w:gridCol w:w="3435"/>
        <w:gridCol w:w="2876"/>
        <w:gridCol w:w="2665"/>
      </w:tblGrid>
      <w:tr w:rsidR="004A22EB">
        <w:tc>
          <w:tcPr>
            <w:tcW w:w="533" w:type="dxa"/>
          </w:tcPr>
          <w:p w:rsidR="004A22EB" w:rsidRDefault="00257088">
            <w:pPr>
              <w:jc w:val="center"/>
            </w:pPr>
            <w:r>
              <w:t>13.</w:t>
            </w:r>
          </w:p>
        </w:tc>
        <w:tc>
          <w:tcPr>
            <w:tcW w:w="3435" w:type="dxa"/>
          </w:tcPr>
          <w:p w:rsidR="004A22EB" w:rsidRDefault="00257088">
            <w:pPr>
              <w:tabs>
                <w:tab w:val="left" w:pos="1276"/>
              </w:tabs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и физическим лицам, не являющимся индивидуальными предпринимателями и примен</w:t>
            </w:r>
            <w:r>
              <w:rPr>
                <w:rFonts w:eastAsia="Calibri"/>
                <w:lang w:eastAsia="en-US"/>
              </w:rPr>
              <w:t>яющим специальный налоговый режим «Налог на профессиональный доход» муниципального недвижимого имущества города Урай, свободного от прав третьих лиц, включенного в перечни, формируемые</w:t>
            </w:r>
            <w:r>
              <w:t xml:space="preserve"> комитетом по управлению муниципальным имуществом администрации города У</w:t>
            </w:r>
            <w:r>
              <w:t>рай (%)</w:t>
            </w:r>
            <w:proofErr w:type="gramEnd"/>
          </w:p>
        </w:tc>
        <w:tc>
          <w:tcPr>
            <w:tcW w:w="2876" w:type="dxa"/>
          </w:tcPr>
          <w:p w:rsidR="004A22EB" w:rsidRDefault="0025708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Дип</w:t>
            </w:r>
            <w:proofErr w:type="gramEnd"/>
            <w:r>
              <w:rPr>
                <w:rFonts w:eastAsia="Calibri"/>
                <w:b/>
                <w:lang w:eastAsia="en-US"/>
              </w:rPr>
              <w:t>=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((</w:t>
            </w:r>
            <w:proofErr w:type="spellStart"/>
            <w:r>
              <w:rPr>
                <w:rFonts w:eastAsia="Calibri"/>
                <w:b/>
                <w:lang w:eastAsia="en-US"/>
              </w:rPr>
              <w:t>Дсмп+Днпд+Дсонко</w:t>
            </w:r>
            <w:proofErr w:type="spellEnd"/>
            <w:r>
              <w:rPr>
                <w:rFonts w:eastAsia="Calibri"/>
                <w:b/>
                <w:lang w:eastAsia="en-US"/>
              </w:rPr>
              <w:t>)/                            (</w:t>
            </w:r>
            <w:proofErr w:type="spellStart"/>
            <w:r>
              <w:rPr>
                <w:rFonts w:eastAsia="Calibri"/>
                <w:b/>
                <w:lang w:eastAsia="en-US"/>
              </w:rPr>
              <w:t>Псмп+Псонко</w:t>
            </w:r>
            <w:proofErr w:type="spellEnd"/>
            <w:r>
              <w:rPr>
                <w:rFonts w:eastAsia="Calibri"/>
                <w:b/>
                <w:lang w:eastAsia="en-US"/>
              </w:rPr>
              <w:t>)) * 100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где: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Дип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- доля предоставленного субъектам малого и среднего предпринимательства и социально ориентированным некоммерческим организациям и фи</w:t>
            </w:r>
            <w:r>
              <w:rPr>
                <w:rFonts w:eastAsia="Calibri"/>
                <w:lang w:eastAsia="en-US"/>
              </w:rPr>
              <w:t>зическим лицам, не являющимся индивидуальными предпринимателями и применяющим специальный налоговый режим «Налог на профессиональный доход» муниципального недвижимого имущества города Урай, свободного от прав третьих лиц, включенного в перечни, формируемые</w:t>
            </w:r>
            <w:r>
              <w:t xml:space="preserve"> комитетом по управлению муниципальным имуществом администрации города Урай</w:t>
            </w:r>
            <w:r>
              <w:rPr>
                <w:rFonts w:eastAsia="Calibri"/>
                <w:lang w:eastAsia="en-US"/>
              </w:rPr>
              <w:t xml:space="preserve">.                        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Дсмп</w:t>
            </w:r>
            <w:proofErr w:type="spellEnd"/>
            <w:r>
              <w:rPr>
                <w:rFonts w:eastAsia="Calibri"/>
                <w:lang w:eastAsia="en-US"/>
              </w:rPr>
              <w:t xml:space="preserve"> – количество объектов недвижимого имущества, переданных по договорам аренды субъектам малого и среднего предпринимательства, включенных в перечень </w:t>
            </w:r>
            <w:r>
              <w:rPr>
                <w:rFonts w:eastAsia="Calibri"/>
                <w:lang w:eastAsia="en-US"/>
              </w:rPr>
              <w:lastRenderedPageBreak/>
              <w:t>мун</w:t>
            </w:r>
            <w:r>
              <w:rPr>
                <w:rFonts w:eastAsia="Calibri"/>
                <w:lang w:eastAsia="en-US"/>
              </w:rPr>
              <w:t>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</w:t>
            </w:r>
            <w:r>
              <w:rPr>
                <w:rFonts w:eastAsia="Calibri"/>
                <w:lang w:eastAsia="en-US"/>
              </w:rPr>
              <w:t xml:space="preserve"> закона «О развитии малого и среднего предпринимательства в Российской Федерации».</w:t>
            </w:r>
            <w:proofErr w:type="gramEnd"/>
          </w:p>
          <w:p w:rsidR="004A22EB" w:rsidRDefault="00257088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Днпд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– </w:t>
            </w:r>
            <w:proofErr w:type="spellStart"/>
            <w:r>
              <w:rPr>
                <w:rFonts w:eastAsia="Calibri"/>
                <w:lang w:eastAsia="en-US"/>
              </w:rPr>
              <w:t>количеств</w:t>
            </w:r>
            <w:r>
              <w:rPr>
                <w:rFonts w:eastAsia="Calibri"/>
                <w:vanish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объектов</w:t>
            </w:r>
            <w:proofErr w:type="spellEnd"/>
            <w:r>
              <w:rPr>
                <w:rFonts w:eastAsia="Calibri"/>
                <w:lang w:eastAsia="en-US"/>
              </w:rPr>
              <w:t xml:space="preserve"> недвижимого имущества, переданных по договорам аренды физическим лицам, не являющимся индивидуальными предпринимателями и применяющим специальный </w:t>
            </w:r>
            <w:r>
              <w:rPr>
                <w:rFonts w:eastAsia="Calibri"/>
                <w:lang w:eastAsia="en-US"/>
              </w:rPr>
              <w:t>налоговый режим «Налог на профессиональный доход»,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</w:t>
            </w:r>
            <w:r>
              <w:rPr>
                <w:rFonts w:eastAsia="Calibri"/>
                <w:lang w:eastAsia="en-US"/>
              </w:rPr>
              <w:t>днего предпринимательства), предусмотренного частью 4 статьи 18 Федерального закона «О развитии</w:t>
            </w:r>
            <w:proofErr w:type="gramEnd"/>
            <w:r>
              <w:rPr>
                <w:rFonts w:eastAsia="Calibri"/>
                <w:lang w:eastAsia="en-US"/>
              </w:rPr>
              <w:t xml:space="preserve"> малого и среднего предпринимательства в Российской Федерации».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Дсонко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количество объектов недвижимого имущества, переданных по договорам аренды социально орие</w:t>
            </w:r>
            <w:r>
              <w:rPr>
                <w:rFonts w:eastAsia="Calibri"/>
                <w:lang w:eastAsia="en-US"/>
              </w:rPr>
              <w:t xml:space="preserve">нтированным некоммерческим организациям, включенных в перечень </w:t>
            </w:r>
            <w:r>
              <w:rPr>
                <w:sz w:val="24"/>
                <w:szCs w:val="24"/>
              </w:rPr>
              <w:t xml:space="preserve">муниципального имущества для оказания </w:t>
            </w:r>
            <w:r>
              <w:rPr>
                <w:sz w:val="24"/>
                <w:szCs w:val="24"/>
              </w:rPr>
              <w:lastRenderedPageBreak/>
              <w:t>имущественной поддержки социально ориентированным некоммерческим организациям</w:t>
            </w:r>
            <w:r>
              <w:rPr>
                <w:rFonts w:eastAsia="Calibri"/>
                <w:lang w:eastAsia="en-US"/>
              </w:rPr>
              <w:t>.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Псмп</w:t>
            </w:r>
            <w:proofErr w:type="spellEnd"/>
            <w:r>
              <w:rPr>
                <w:rFonts w:eastAsia="Calibri"/>
                <w:lang w:eastAsia="en-US"/>
              </w:rPr>
              <w:t xml:space="preserve"> – количество объектов недвижимого имущества, включенных в перечень муни</w:t>
            </w:r>
            <w:r>
              <w:rPr>
                <w:rFonts w:eastAsia="Calibri"/>
                <w:lang w:eastAsia="en-US"/>
              </w:rPr>
              <w:t>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</w:t>
            </w:r>
            <w:r>
              <w:rPr>
                <w:rFonts w:eastAsia="Calibri"/>
                <w:lang w:eastAsia="en-US"/>
              </w:rPr>
              <w:t xml:space="preserve"> закона «О развитии малого и среднего предпринимательства в Российской Федерации».</w:t>
            </w:r>
          </w:p>
          <w:p w:rsidR="004A22EB" w:rsidRDefault="00257088">
            <w:pPr>
              <w:jc w:val="center"/>
            </w:pPr>
            <w:proofErr w:type="spellStart"/>
            <w:r>
              <w:rPr>
                <w:rFonts w:eastAsia="Calibri"/>
                <w:b/>
                <w:lang w:eastAsia="en-US"/>
              </w:rPr>
              <w:t>Псонко</w:t>
            </w:r>
            <w:proofErr w:type="spellEnd"/>
            <w:r>
              <w:rPr>
                <w:rFonts w:eastAsia="Calibri"/>
                <w:lang w:eastAsia="en-US"/>
              </w:rPr>
              <w:t xml:space="preserve"> - количество объектов недвижимого имущества, включенных в перечень муниципального имущества </w:t>
            </w:r>
            <w:r>
              <w:rPr>
                <w:sz w:val="24"/>
                <w:szCs w:val="24"/>
              </w:rPr>
              <w:t>для оказания имущественной поддержки социально ориентированным некоммерчес</w:t>
            </w:r>
            <w:r>
              <w:rPr>
                <w:sz w:val="24"/>
                <w:szCs w:val="24"/>
              </w:rPr>
              <w:t>ким организациям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65" w:type="dxa"/>
          </w:tcPr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Целевым значением выступает увеличение доли предоставленного субъектам малого и среднего предпринимательства,  социально ориентированным некоммерческим организациям и физическим лицам, не являющимся индивидуальными предпринимателями и при</w:t>
            </w:r>
            <w:r>
              <w:rPr>
                <w:rFonts w:eastAsia="Calibri"/>
                <w:lang w:eastAsia="en-US"/>
              </w:rPr>
              <w:t>меняющим специальный налоговый режим «Налог на профессиональный доход» муниципального недвижимого имущества города Урай, свободного от прав третьих лиц, включенного в перечни, формируемые</w:t>
            </w:r>
            <w:r>
              <w:t xml:space="preserve"> комитетом по управлению муниципальным имуществом администрации город</w:t>
            </w:r>
            <w:r>
              <w:t>а Урай</w:t>
            </w:r>
            <w:r>
              <w:rPr>
                <w:rFonts w:eastAsia="Calibri"/>
                <w:lang w:eastAsia="en-US"/>
              </w:rPr>
              <w:t>.</w:t>
            </w:r>
            <w:proofErr w:type="gramEnd"/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Максимальное значение – 1 балл.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случае значения показателя более 90% и до 80% присваивается 1 балл.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случае значения показателя менее 80% и до 70% присваивается 0,5 балла.</w:t>
            </w:r>
          </w:p>
          <w:p w:rsidR="004A22EB" w:rsidRDefault="00257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случае значения </w:t>
            </w:r>
            <w:r>
              <w:rPr>
                <w:rFonts w:eastAsia="Calibri"/>
                <w:lang w:eastAsia="en-US"/>
              </w:rPr>
              <w:lastRenderedPageBreak/>
              <w:t>показателя менее 70% и до 60% присваивается 0,25 балла.</w:t>
            </w:r>
          </w:p>
          <w:p w:rsidR="004A22EB" w:rsidRDefault="00257088">
            <w:pPr>
              <w:jc w:val="center"/>
            </w:pPr>
            <w:r>
              <w:rPr>
                <w:rFonts w:eastAsia="Calibri"/>
                <w:lang w:eastAsia="en-US"/>
              </w:rPr>
              <w:t>В случае значения показателя менее 60% присваивается 0 баллов.</w:t>
            </w:r>
          </w:p>
          <w:p w:rsidR="004A22EB" w:rsidRDefault="004A22EB">
            <w:pPr>
              <w:jc w:val="center"/>
            </w:pPr>
          </w:p>
        </w:tc>
      </w:tr>
    </w:tbl>
    <w:p w:rsidR="004A22EB" w:rsidRDefault="00257088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».</w:t>
      </w:r>
    </w:p>
    <w:p w:rsidR="004A22EB" w:rsidRDefault="00257088">
      <w:pPr>
        <w:ind w:firstLine="709"/>
        <w:jc w:val="both"/>
      </w:pPr>
      <w:r>
        <w:t>2. Изменения, утвержденные нас</w:t>
      </w:r>
      <w:r>
        <w:t xml:space="preserve">тоящим постановлением, применяются при расчете </w:t>
      </w:r>
      <w:proofErr w:type="gramStart"/>
      <w:r>
        <w:t>значений показателей оценки эффективности управления</w:t>
      </w:r>
      <w:proofErr w:type="gramEnd"/>
      <w:r>
        <w:t xml:space="preserve"> имуществом города Урай, начиная с отчетного 2024 года, за исключением подпунктов 1.1.2, 1.2.2 пункта 1, вступающих в силу после его официального опубликован</w:t>
      </w:r>
      <w:r>
        <w:t>ия.</w:t>
      </w:r>
    </w:p>
    <w:p w:rsidR="004A22EB" w:rsidRDefault="00257088">
      <w:pPr>
        <w:ind w:firstLine="709"/>
        <w:jc w:val="both"/>
      </w:pPr>
      <w: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A22EB" w:rsidRDefault="0025708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</w:t>
      </w:r>
      <w:r>
        <w:t xml:space="preserve">орода Урай В.А. </w:t>
      </w:r>
      <w:proofErr w:type="spellStart"/>
      <w:r>
        <w:t>Гробовца</w:t>
      </w:r>
      <w:proofErr w:type="spellEnd"/>
      <w:r>
        <w:t>.</w:t>
      </w:r>
    </w:p>
    <w:p w:rsidR="004A22EB" w:rsidRDefault="004A22EB">
      <w:pPr>
        <w:jc w:val="both"/>
      </w:pPr>
    </w:p>
    <w:p w:rsidR="004A22EB" w:rsidRDefault="004A22EB">
      <w:pPr>
        <w:jc w:val="both"/>
      </w:pPr>
    </w:p>
    <w:p w:rsidR="004A22EB" w:rsidRDefault="004A22EB">
      <w:pPr>
        <w:jc w:val="both"/>
      </w:pPr>
    </w:p>
    <w:p w:rsidR="004A22EB" w:rsidRDefault="00257088">
      <w:pPr>
        <w:jc w:val="both"/>
      </w:pPr>
      <w:r>
        <w:t>Глава города Урай                                                                                                Т.Р. Закирзянов</w:t>
      </w:r>
    </w:p>
    <w:sectPr w:rsidR="004A22EB" w:rsidSect="004A22EB">
      <w:headerReference w:type="first" r:id="rId9"/>
      <w:pgSz w:w="11906" w:h="16838"/>
      <w:pgMar w:top="1134" w:right="56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EB" w:rsidRDefault="00257088">
      <w:r>
        <w:separator/>
      </w:r>
    </w:p>
  </w:endnote>
  <w:endnote w:type="continuationSeparator" w:id="0">
    <w:p w:rsidR="004A22EB" w:rsidRDefault="0025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EB" w:rsidRDefault="00257088">
      <w:r>
        <w:separator/>
      </w:r>
    </w:p>
  </w:footnote>
  <w:footnote w:type="continuationSeparator" w:id="0">
    <w:p w:rsidR="004A22EB" w:rsidRDefault="00257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0708"/>
      <w:docPartObj>
        <w:docPartGallery w:val="Page Numbers (Top of Page)"/>
        <w:docPartUnique/>
      </w:docPartObj>
    </w:sdtPr>
    <w:sdtContent>
      <w:p w:rsidR="004A22EB" w:rsidRDefault="004A22EB">
        <w:pPr>
          <w:pStyle w:val="Header"/>
          <w:jc w:val="center"/>
        </w:pPr>
      </w:p>
    </w:sdtContent>
  </w:sdt>
  <w:p w:rsidR="004A22EB" w:rsidRDefault="004A22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D7C"/>
    <w:multiLevelType w:val="hybridMultilevel"/>
    <w:tmpl w:val="82661BAC"/>
    <w:lvl w:ilvl="0" w:tplc="128CE114">
      <w:start w:val="1"/>
      <w:numFmt w:val="decimal"/>
      <w:lvlText w:val="%1."/>
      <w:lvlJc w:val="left"/>
      <w:pPr>
        <w:ind w:left="1924" w:hanging="1215"/>
      </w:pPr>
    </w:lvl>
    <w:lvl w:ilvl="1" w:tplc="4224D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43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85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8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4E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0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AAC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05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3030E"/>
    <w:multiLevelType w:val="multilevel"/>
    <w:tmpl w:val="2A7886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2987385"/>
    <w:multiLevelType w:val="multilevel"/>
    <w:tmpl w:val="D6AC0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E166FD5"/>
    <w:multiLevelType w:val="hybridMultilevel"/>
    <w:tmpl w:val="147AD792"/>
    <w:lvl w:ilvl="0" w:tplc="B498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F68B6F2">
      <w:start w:val="1"/>
      <w:numFmt w:val="lowerLetter"/>
      <w:lvlText w:val="%2."/>
      <w:lvlJc w:val="left"/>
      <w:pPr>
        <w:ind w:left="1620" w:hanging="360"/>
      </w:pPr>
    </w:lvl>
    <w:lvl w:ilvl="2" w:tplc="0FC42908">
      <w:start w:val="1"/>
      <w:numFmt w:val="lowerRoman"/>
      <w:lvlText w:val="%3."/>
      <w:lvlJc w:val="right"/>
      <w:pPr>
        <w:ind w:left="2340" w:hanging="180"/>
      </w:pPr>
    </w:lvl>
    <w:lvl w:ilvl="3" w:tplc="835AA744">
      <w:start w:val="1"/>
      <w:numFmt w:val="decimal"/>
      <w:lvlText w:val="%4."/>
      <w:lvlJc w:val="left"/>
      <w:pPr>
        <w:ind w:left="3060" w:hanging="360"/>
      </w:pPr>
    </w:lvl>
    <w:lvl w:ilvl="4" w:tplc="6186C232">
      <w:start w:val="1"/>
      <w:numFmt w:val="lowerLetter"/>
      <w:lvlText w:val="%5."/>
      <w:lvlJc w:val="left"/>
      <w:pPr>
        <w:ind w:left="3780" w:hanging="360"/>
      </w:pPr>
    </w:lvl>
    <w:lvl w:ilvl="5" w:tplc="AA5AC5B0">
      <w:start w:val="1"/>
      <w:numFmt w:val="lowerRoman"/>
      <w:lvlText w:val="%6."/>
      <w:lvlJc w:val="right"/>
      <w:pPr>
        <w:ind w:left="4500" w:hanging="180"/>
      </w:pPr>
    </w:lvl>
    <w:lvl w:ilvl="6" w:tplc="6EBA6EFE">
      <w:start w:val="1"/>
      <w:numFmt w:val="decimal"/>
      <w:lvlText w:val="%7."/>
      <w:lvlJc w:val="left"/>
      <w:pPr>
        <w:ind w:left="5220" w:hanging="360"/>
      </w:pPr>
    </w:lvl>
    <w:lvl w:ilvl="7" w:tplc="644E9198">
      <w:start w:val="1"/>
      <w:numFmt w:val="lowerLetter"/>
      <w:lvlText w:val="%8."/>
      <w:lvlJc w:val="left"/>
      <w:pPr>
        <w:ind w:left="5940" w:hanging="360"/>
      </w:pPr>
    </w:lvl>
    <w:lvl w:ilvl="8" w:tplc="E12E1EC6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BC1787"/>
    <w:multiLevelType w:val="hybridMultilevel"/>
    <w:tmpl w:val="A3A2138A"/>
    <w:lvl w:ilvl="0" w:tplc="EBD2600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FC781E14">
      <w:start w:val="1"/>
      <w:numFmt w:val="lowerLetter"/>
      <w:lvlText w:val="%2."/>
      <w:lvlJc w:val="left"/>
      <w:pPr>
        <w:ind w:left="1647" w:hanging="360"/>
      </w:pPr>
    </w:lvl>
    <w:lvl w:ilvl="2" w:tplc="69AC6488">
      <w:start w:val="1"/>
      <w:numFmt w:val="lowerRoman"/>
      <w:lvlText w:val="%3."/>
      <w:lvlJc w:val="right"/>
      <w:pPr>
        <w:ind w:left="2367" w:hanging="180"/>
      </w:pPr>
    </w:lvl>
    <w:lvl w:ilvl="3" w:tplc="34D42E7C">
      <w:start w:val="1"/>
      <w:numFmt w:val="decimal"/>
      <w:lvlText w:val="%4."/>
      <w:lvlJc w:val="left"/>
      <w:pPr>
        <w:ind w:left="3087" w:hanging="360"/>
      </w:pPr>
    </w:lvl>
    <w:lvl w:ilvl="4" w:tplc="B00C42BC">
      <w:start w:val="1"/>
      <w:numFmt w:val="lowerLetter"/>
      <w:lvlText w:val="%5."/>
      <w:lvlJc w:val="left"/>
      <w:pPr>
        <w:ind w:left="3807" w:hanging="360"/>
      </w:pPr>
    </w:lvl>
    <w:lvl w:ilvl="5" w:tplc="8ECE1E2A">
      <w:start w:val="1"/>
      <w:numFmt w:val="lowerRoman"/>
      <w:lvlText w:val="%6."/>
      <w:lvlJc w:val="right"/>
      <w:pPr>
        <w:ind w:left="4527" w:hanging="180"/>
      </w:pPr>
    </w:lvl>
    <w:lvl w:ilvl="6" w:tplc="99248966">
      <w:start w:val="1"/>
      <w:numFmt w:val="decimal"/>
      <w:lvlText w:val="%7."/>
      <w:lvlJc w:val="left"/>
      <w:pPr>
        <w:ind w:left="5247" w:hanging="360"/>
      </w:pPr>
    </w:lvl>
    <w:lvl w:ilvl="7" w:tplc="95C06C50">
      <w:start w:val="1"/>
      <w:numFmt w:val="lowerLetter"/>
      <w:lvlText w:val="%8."/>
      <w:lvlJc w:val="left"/>
      <w:pPr>
        <w:ind w:left="5967" w:hanging="360"/>
      </w:pPr>
    </w:lvl>
    <w:lvl w:ilvl="8" w:tplc="AB043E92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BF6446"/>
    <w:multiLevelType w:val="hybridMultilevel"/>
    <w:tmpl w:val="15C0BC8A"/>
    <w:lvl w:ilvl="0" w:tplc="779C1E1E">
      <w:start w:val="1"/>
      <w:numFmt w:val="decimal"/>
      <w:lvlText w:val="%1)"/>
      <w:lvlJc w:val="left"/>
      <w:pPr>
        <w:ind w:left="720" w:hanging="360"/>
      </w:pPr>
    </w:lvl>
    <w:lvl w:ilvl="1" w:tplc="E40C1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CB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81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6F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ED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61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24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29B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F0DF4"/>
    <w:multiLevelType w:val="hybridMultilevel"/>
    <w:tmpl w:val="0FF694D0"/>
    <w:lvl w:ilvl="0" w:tplc="7DC43D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130DB0C">
      <w:start w:val="1"/>
      <w:numFmt w:val="lowerLetter"/>
      <w:lvlText w:val="%2."/>
      <w:lvlJc w:val="left"/>
      <w:pPr>
        <w:ind w:left="1620" w:hanging="360"/>
      </w:pPr>
    </w:lvl>
    <w:lvl w:ilvl="2" w:tplc="E71A6F46">
      <w:start w:val="1"/>
      <w:numFmt w:val="lowerRoman"/>
      <w:lvlText w:val="%3."/>
      <w:lvlJc w:val="right"/>
      <w:pPr>
        <w:ind w:left="2340" w:hanging="180"/>
      </w:pPr>
    </w:lvl>
    <w:lvl w:ilvl="3" w:tplc="3822E24A">
      <w:start w:val="1"/>
      <w:numFmt w:val="decimal"/>
      <w:lvlText w:val="%4."/>
      <w:lvlJc w:val="left"/>
      <w:pPr>
        <w:ind w:left="3060" w:hanging="360"/>
      </w:pPr>
    </w:lvl>
    <w:lvl w:ilvl="4" w:tplc="E7486DF2">
      <w:start w:val="1"/>
      <w:numFmt w:val="lowerLetter"/>
      <w:lvlText w:val="%5."/>
      <w:lvlJc w:val="left"/>
      <w:pPr>
        <w:ind w:left="3780" w:hanging="360"/>
      </w:pPr>
    </w:lvl>
    <w:lvl w:ilvl="5" w:tplc="5662556A">
      <w:start w:val="1"/>
      <w:numFmt w:val="lowerRoman"/>
      <w:lvlText w:val="%6."/>
      <w:lvlJc w:val="right"/>
      <w:pPr>
        <w:ind w:left="4500" w:hanging="180"/>
      </w:pPr>
    </w:lvl>
    <w:lvl w:ilvl="6" w:tplc="32240EAA">
      <w:start w:val="1"/>
      <w:numFmt w:val="decimal"/>
      <w:lvlText w:val="%7."/>
      <w:lvlJc w:val="left"/>
      <w:pPr>
        <w:ind w:left="5220" w:hanging="360"/>
      </w:pPr>
    </w:lvl>
    <w:lvl w:ilvl="7" w:tplc="0B7E26F2">
      <w:start w:val="1"/>
      <w:numFmt w:val="lowerLetter"/>
      <w:lvlText w:val="%8."/>
      <w:lvlJc w:val="left"/>
      <w:pPr>
        <w:ind w:left="5940" w:hanging="360"/>
      </w:pPr>
    </w:lvl>
    <w:lvl w:ilvl="8" w:tplc="6AEC68B4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5E5D0B"/>
    <w:multiLevelType w:val="hybridMultilevel"/>
    <w:tmpl w:val="528A03EE"/>
    <w:lvl w:ilvl="0" w:tplc="0EECE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3A0A50">
      <w:start w:val="1"/>
      <w:numFmt w:val="lowerLetter"/>
      <w:lvlText w:val="%2."/>
      <w:lvlJc w:val="left"/>
      <w:pPr>
        <w:ind w:left="1620" w:hanging="360"/>
      </w:pPr>
    </w:lvl>
    <w:lvl w:ilvl="2" w:tplc="EB2A3E06">
      <w:start w:val="1"/>
      <w:numFmt w:val="lowerRoman"/>
      <w:lvlText w:val="%3."/>
      <w:lvlJc w:val="right"/>
      <w:pPr>
        <w:ind w:left="2340" w:hanging="180"/>
      </w:pPr>
    </w:lvl>
    <w:lvl w:ilvl="3" w:tplc="DA208BDE">
      <w:start w:val="1"/>
      <w:numFmt w:val="decimal"/>
      <w:lvlText w:val="%4."/>
      <w:lvlJc w:val="left"/>
      <w:pPr>
        <w:ind w:left="3060" w:hanging="360"/>
      </w:pPr>
    </w:lvl>
    <w:lvl w:ilvl="4" w:tplc="6A2CB240">
      <w:start w:val="1"/>
      <w:numFmt w:val="lowerLetter"/>
      <w:lvlText w:val="%5."/>
      <w:lvlJc w:val="left"/>
      <w:pPr>
        <w:ind w:left="3780" w:hanging="360"/>
      </w:pPr>
    </w:lvl>
    <w:lvl w:ilvl="5" w:tplc="DD861E80">
      <w:start w:val="1"/>
      <w:numFmt w:val="lowerRoman"/>
      <w:lvlText w:val="%6."/>
      <w:lvlJc w:val="right"/>
      <w:pPr>
        <w:ind w:left="4500" w:hanging="180"/>
      </w:pPr>
    </w:lvl>
    <w:lvl w:ilvl="6" w:tplc="7E6C7BD4">
      <w:start w:val="1"/>
      <w:numFmt w:val="decimal"/>
      <w:lvlText w:val="%7."/>
      <w:lvlJc w:val="left"/>
      <w:pPr>
        <w:ind w:left="5220" w:hanging="360"/>
      </w:pPr>
    </w:lvl>
    <w:lvl w:ilvl="7" w:tplc="E59405AC">
      <w:start w:val="1"/>
      <w:numFmt w:val="lowerLetter"/>
      <w:lvlText w:val="%8."/>
      <w:lvlJc w:val="left"/>
      <w:pPr>
        <w:ind w:left="5940" w:hanging="360"/>
      </w:pPr>
    </w:lvl>
    <w:lvl w:ilvl="8" w:tplc="0908D4AE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566D33"/>
    <w:multiLevelType w:val="hybridMultilevel"/>
    <w:tmpl w:val="00169C2A"/>
    <w:lvl w:ilvl="0" w:tplc="90C69064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EC24B06C">
      <w:start w:val="1"/>
      <w:numFmt w:val="lowerLetter"/>
      <w:lvlText w:val="%2."/>
      <w:lvlJc w:val="left"/>
      <w:pPr>
        <w:ind w:left="1560" w:hanging="360"/>
      </w:pPr>
    </w:lvl>
    <w:lvl w:ilvl="2" w:tplc="B81CBAC2">
      <w:start w:val="1"/>
      <w:numFmt w:val="lowerRoman"/>
      <w:lvlText w:val="%3."/>
      <w:lvlJc w:val="right"/>
      <w:pPr>
        <w:ind w:left="2280" w:hanging="180"/>
      </w:pPr>
    </w:lvl>
    <w:lvl w:ilvl="3" w:tplc="1BB08150">
      <w:start w:val="1"/>
      <w:numFmt w:val="decimal"/>
      <w:lvlText w:val="%4."/>
      <w:lvlJc w:val="left"/>
      <w:pPr>
        <w:ind w:left="3000" w:hanging="360"/>
      </w:pPr>
    </w:lvl>
    <w:lvl w:ilvl="4" w:tplc="5F522F64">
      <w:start w:val="1"/>
      <w:numFmt w:val="lowerLetter"/>
      <w:lvlText w:val="%5."/>
      <w:lvlJc w:val="left"/>
      <w:pPr>
        <w:ind w:left="3720" w:hanging="360"/>
      </w:pPr>
    </w:lvl>
    <w:lvl w:ilvl="5" w:tplc="98103C38">
      <w:start w:val="1"/>
      <w:numFmt w:val="lowerRoman"/>
      <w:lvlText w:val="%6."/>
      <w:lvlJc w:val="right"/>
      <w:pPr>
        <w:ind w:left="4440" w:hanging="180"/>
      </w:pPr>
    </w:lvl>
    <w:lvl w:ilvl="6" w:tplc="8634E948">
      <w:start w:val="1"/>
      <w:numFmt w:val="decimal"/>
      <w:lvlText w:val="%7."/>
      <w:lvlJc w:val="left"/>
      <w:pPr>
        <w:ind w:left="5160" w:hanging="360"/>
      </w:pPr>
    </w:lvl>
    <w:lvl w:ilvl="7" w:tplc="3586DF82">
      <w:start w:val="1"/>
      <w:numFmt w:val="lowerLetter"/>
      <w:lvlText w:val="%8."/>
      <w:lvlJc w:val="left"/>
      <w:pPr>
        <w:ind w:left="5880" w:hanging="360"/>
      </w:pPr>
    </w:lvl>
    <w:lvl w:ilvl="8" w:tplc="010ECA7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EB"/>
    <w:rsid w:val="00257088"/>
    <w:rsid w:val="004A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4A22EB"/>
    <w:rPr>
      <w:sz w:val="24"/>
      <w:szCs w:val="24"/>
    </w:rPr>
  </w:style>
  <w:style w:type="character" w:customStyle="1" w:styleId="QuoteChar">
    <w:name w:val="Quote Char"/>
    <w:link w:val="2"/>
    <w:uiPriority w:val="29"/>
    <w:rsid w:val="004A22EB"/>
    <w:rPr>
      <w:i/>
    </w:rPr>
  </w:style>
  <w:style w:type="character" w:customStyle="1" w:styleId="IntenseQuoteChar">
    <w:name w:val="Intense Quote Char"/>
    <w:link w:val="a4"/>
    <w:uiPriority w:val="30"/>
    <w:rsid w:val="004A22EB"/>
    <w:rPr>
      <w:i/>
    </w:rPr>
  </w:style>
  <w:style w:type="character" w:customStyle="1" w:styleId="FootnoteTextChar">
    <w:name w:val="Footnote Text Char"/>
    <w:link w:val="a5"/>
    <w:uiPriority w:val="99"/>
    <w:rsid w:val="004A22EB"/>
    <w:rPr>
      <w:sz w:val="18"/>
    </w:rPr>
  </w:style>
  <w:style w:type="character" w:customStyle="1" w:styleId="EndnoteTextChar">
    <w:name w:val="Endnote Text Char"/>
    <w:link w:val="a6"/>
    <w:uiPriority w:val="99"/>
    <w:rsid w:val="004A22EB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4A22E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A22E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A22E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A22E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A22E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A22E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A22E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A22E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4A22E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A22E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A22E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A22E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A22E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A22E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A22E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A22E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A22E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7"/>
    <w:uiPriority w:val="10"/>
    <w:rsid w:val="004A22EB"/>
    <w:rPr>
      <w:sz w:val="48"/>
      <w:szCs w:val="48"/>
    </w:rPr>
  </w:style>
  <w:style w:type="paragraph" w:styleId="a3">
    <w:name w:val="Subtitle"/>
    <w:basedOn w:val="a"/>
    <w:next w:val="a"/>
    <w:link w:val="a8"/>
    <w:uiPriority w:val="11"/>
    <w:qFormat/>
    <w:rsid w:val="004A22EB"/>
    <w:pPr>
      <w:spacing w:before="200" w:after="200"/>
    </w:pPr>
  </w:style>
  <w:style w:type="character" w:customStyle="1" w:styleId="a8">
    <w:name w:val="Подзаголовок Знак"/>
    <w:basedOn w:val="a0"/>
    <w:link w:val="a3"/>
    <w:uiPriority w:val="11"/>
    <w:rsid w:val="004A22E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A22E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A22EB"/>
    <w:rPr>
      <w:i/>
    </w:rPr>
  </w:style>
  <w:style w:type="paragraph" w:styleId="a4">
    <w:name w:val="Intense Quote"/>
    <w:basedOn w:val="a"/>
    <w:next w:val="a"/>
    <w:link w:val="a9"/>
    <w:uiPriority w:val="30"/>
    <w:qFormat/>
    <w:rsid w:val="004A22E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4"/>
    <w:uiPriority w:val="30"/>
    <w:rsid w:val="004A22EB"/>
    <w:rPr>
      <w:i/>
    </w:rPr>
  </w:style>
  <w:style w:type="character" w:customStyle="1" w:styleId="HeaderChar">
    <w:name w:val="Header Char"/>
    <w:basedOn w:val="a0"/>
    <w:link w:val="Header"/>
    <w:uiPriority w:val="99"/>
    <w:rsid w:val="004A22EB"/>
  </w:style>
  <w:style w:type="paragraph" w:customStyle="1" w:styleId="Footer">
    <w:name w:val="Footer"/>
    <w:basedOn w:val="a"/>
    <w:link w:val="CaptionChar"/>
    <w:uiPriority w:val="99"/>
    <w:unhideWhenUsed/>
    <w:rsid w:val="004A22E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A22E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A22E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A22EB"/>
  </w:style>
  <w:style w:type="table" w:customStyle="1" w:styleId="TableGridLight">
    <w:name w:val="Table Grid Light"/>
    <w:basedOn w:val="a1"/>
    <w:uiPriority w:val="59"/>
    <w:rsid w:val="004A22E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A22E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4A2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A22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A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4A22EB"/>
    <w:rPr>
      <w:color w:val="0000FF" w:themeColor="hyperlink"/>
      <w:u w:val="single"/>
    </w:rPr>
  </w:style>
  <w:style w:type="paragraph" w:styleId="a5">
    <w:name w:val="footnote text"/>
    <w:basedOn w:val="a"/>
    <w:link w:val="ab"/>
    <w:uiPriority w:val="99"/>
    <w:semiHidden/>
    <w:unhideWhenUsed/>
    <w:rsid w:val="004A22EB"/>
    <w:pPr>
      <w:spacing w:after="40"/>
    </w:pPr>
    <w:rPr>
      <w:sz w:val="18"/>
    </w:rPr>
  </w:style>
  <w:style w:type="character" w:customStyle="1" w:styleId="ab">
    <w:name w:val="Текст сноски Знак"/>
    <w:link w:val="a5"/>
    <w:uiPriority w:val="99"/>
    <w:rsid w:val="004A22EB"/>
    <w:rPr>
      <w:sz w:val="18"/>
    </w:rPr>
  </w:style>
  <w:style w:type="character" w:styleId="ac">
    <w:name w:val="footnote reference"/>
    <w:basedOn w:val="a0"/>
    <w:uiPriority w:val="99"/>
    <w:unhideWhenUsed/>
    <w:rsid w:val="004A22EB"/>
    <w:rPr>
      <w:vertAlign w:val="superscript"/>
    </w:rPr>
  </w:style>
  <w:style w:type="paragraph" w:styleId="a6">
    <w:name w:val="endnote text"/>
    <w:basedOn w:val="a"/>
    <w:link w:val="ad"/>
    <w:uiPriority w:val="99"/>
    <w:semiHidden/>
    <w:unhideWhenUsed/>
    <w:rsid w:val="004A22EB"/>
    <w:rPr>
      <w:sz w:val="20"/>
    </w:rPr>
  </w:style>
  <w:style w:type="character" w:customStyle="1" w:styleId="ad">
    <w:name w:val="Текст концевой сноски Знак"/>
    <w:link w:val="a6"/>
    <w:uiPriority w:val="99"/>
    <w:rsid w:val="004A22EB"/>
    <w:rPr>
      <w:sz w:val="20"/>
    </w:rPr>
  </w:style>
  <w:style w:type="character" w:styleId="ae">
    <w:name w:val="endnote reference"/>
    <w:basedOn w:val="a0"/>
    <w:uiPriority w:val="99"/>
    <w:semiHidden/>
    <w:unhideWhenUsed/>
    <w:rsid w:val="004A22E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A22EB"/>
    <w:pPr>
      <w:spacing w:after="57"/>
    </w:pPr>
  </w:style>
  <w:style w:type="paragraph" w:styleId="21">
    <w:name w:val="toc 2"/>
    <w:basedOn w:val="a"/>
    <w:next w:val="a"/>
    <w:uiPriority w:val="39"/>
    <w:unhideWhenUsed/>
    <w:rsid w:val="004A22E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A22E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A22E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A22E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A22E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A22E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A22E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A22EB"/>
    <w:pPr>
      <w:spacing w:after="57"/>
      <w:ind w:left="2268"/>
    </w:pPr>
  </w:style>
  <w:style w:type="paragraph" w:styleId="af">
    <w:name w:val="TOC Heading"/>
    <w:uiPriority w:val="39"/>
    <w:unhideWhenUsed/>
    <w:rsid w:val="004A22EB"/>
  </w:style>
  <w:style w:type="paragraph" w:styleId="af0">
    <w:name w:val="table of figures"/>
    <w:basedOn w:val="a"/>
    <w:next w:val="a"/>
    <w:uiPriority w:val="99"/>
    <w:unhideWhenUsed/>
    <w:rsid w:val="004A22EB"/>
  </w:style>
  <w:style w:type="paragraph" w:customStyle="1" w:styleId="Heading1">
    <w:name w:val="Heading 1"/>
    <w:basedOn w:val="a"/>
    <w:next w:val="a"/>
    <w:link w:val="10"/>
    <w:qFormat/>
    <w:rsid w:val="004A22E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0">
    <w:name w:val="Заголовок 1 Знак"/>
    <w:basedOn w:val="a0"/>
    <w:link w:val="Heading1"/>
    <w:rsid w:val="004A22EB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7">
    <w:name w:val="Title"/>
    <w:basedOn w:val="a"/>
    <w:next w:val="a"/>
    <w:link w:val="af1"/>
    <w:qFormat/>
    <w:rsid w:val="004A22E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Название Знак"/>
    <w:basedOn w:val="a0"/>
    <w:link w:val="a7"/>
    <w:rsid w:val="004A22EB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2">
    <w:name w:val="Body Text Indent"/>
    <w:basedOn w:val="a"/>
    <w:link w:val="af3"/>
    <w:rsid w:val="004A22EB"/>
    <w:pPr>
      <w:ind w:left="252" w:hanging="252"/>
    </w:pPr>
  </w:style>
  <w:style w:type="character" w:customStyle="1" w:styleId="af3">
    <w:name w:val="Основной текст с отступом Знак"/>
    <w:basedOn w:val="a0"/>
    <w:link w:val="af2"/>
    <w:rsid w:val="004A2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22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22E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4A22EB"/>
    <w:pPr>
      <w:ind w:left="720"/>
      <w:contextualSpacing/>
    </w:pPr>
  </w:style>
  <w:style w:type="paragraph" w:styleId="af7">
    <w:name w:val="No Spacing"/>
    <w:uiPriority w:val="1"/>
    <w:qFormat/>
    <w:rsid w:val="004A22EB"/>
    <w:pPr>
      <w:spacing w:after="0" w:line="240" w:lineRule="auto"/>
    </w:pPr>
  </w:style>
  <w:style w:type="paragraph" w:styleId="30">
    <w:name w:val="Body Text 3"/>
    <w:basedOn w:val="a"/>
    <w:link w:val="31"/>
    <w:unhideWhenUsed/>
    <w:rsid w:val="004A22E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A2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A22E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rsid w:val="004A22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22EB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A22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2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A22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">
    <w:name w:val="Header"/>
    <w:basedOn w:val="a"/>
    <w:link w:val="af9"/>
    <w:uiPriority w:val="99"/>
    <w:unhideWhenUsed/>
    <w:rsid w:val="004A22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Header"/>
    <w:uiPriority w:val="99"/>
    <w:rsid w:val="004A2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32644-6B12-4048-BADE-381AD827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8504</Characters>
  <Application>Microsoft Office Word</Application>
  <DocSecurity>0</DocSecurity>
  <Lines>70</Lines>
  <Paragraphs>19</Paragraphs>
  <ScaleCrop>false</ScaleCrop>
  <Company>Администрация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</cp:lastModifiedBy>
  <cp:revision>2</cp:revision>
  <dcterms:created xsi:type="dcterms:W3CDTF">2023-12-07T05:14:00Z</dcterms:created>
  <dcterms:modified xsi:type="dcterms:W3CDTF">2023-12-07T05:14:00Z</dcterms:modified>
</cp:coreProperties>
</file>