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65" w:lineRule="atLeast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ПРАВИТЕЛЬСТВО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240" w:line="65" w:lineRule="atLeast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ХАНТЫ-МАНСИЙСКОГО АВТОНОМНОГО ОКРУГА - ЮГРЫ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ПОСТАНОВЛЕНИЕ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3273"/>
        <w:gridCol w:w="1971"/>
      </w:tblGrid>
      <w:tr>
        <w:trPr/>
        <w:tc>
          <w:tcPr>
            <w:tcW w:w="3273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szCs w:val="28"/>
              </w:rPr>
            </w:pPr>
            <w:bookmarkStart w:id="0" w:name="_GoBack"/>
            <w:bookmarkEnd w:id="0"/>
            <w:r>
              <w:t xml:space="preserve">24 ноября 2023 года</w:t>
            </w:r>
            <w:r>
              <w:rPr>
                <w:szCs w:val="28"/>
              </w:rPr>
            </w:r>
          </w:p>
        </w:tc>
        <w:tc>
          <w:tcPr>
            <w:tcW w:w="1971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587-п</w:t>
            </w:r>
            <w:r>
              <w:rPr>
                <w:szCs w:val="28"/>
              </w:rPr>
            </w:r>
          </w:p>
        </w:tc>
      </w:tr>
    </w:tbl>
    <w:p>
      <w:pPr>
        <w:spacing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spacing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spacing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888"/>
        <w:jc w:val="center"/>
      </w:pPr>
      <w:r>
        <w:t xml:space="preserve">Об установлении предельных размеров платы </w:t>
      </w:r>
    </w:p>
    <w:p>
      <w:pPr>
        <w:pStyle w:val="888"/>
        <w:jc w:val="center"/>
      </w:pPr>
      <w:r>
        <w:t xml:space="preserve">за проведение технического осмотра транспортных средств </w:t>
      </w:r>
    </w:p>
    <w:p>
      <w:pPr>
        <w:pStyle w:val="888"/>
        <w:jc w:val="center"/>
      </w:pPr>
      <w:r>
        <w:t xml:space="preserve">в Ханты-Мансийском автономном округе – Югре в 2024 году</w:t>
      </w:r>
    </w:p>
    <w:p>
      <w:pPr>
        <w:pStyle w:val="888"/>
        <w:jc w:val="center"/>
      </w:pPr>
    </w:p>
    <w:p>
      <w:pPr>
        <w:pStyle w:val="888"/>
        <w:jc w:val="center"/>
      </w:pP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240" w:lineRule="auto"/>
        <w:ind w:firstLine="540"/>
      </w:pPr>
      <w:r>
        <w:t xml:space="preserve">В соответствии с Федеральным </w:t>
      </w:r>
      <w:hyperlink r:id="rId11" w:tooltip="consultantplus://offline/ref=048426F884E6CACBE9725BA7461215A3D6962F830433D55651899C2363E2A00D36AA34BA2DD74ECBn1E3L" w:history="1">
        <w:r>
          <w:t xml:space="preserve">законом</w:t>
        </w:r>
      </w:hyperlink>
      <w:r>
        <w:t xml:space="preserve"> от 1 июля 2011 года </w:t>
      </w:r>
      <w:r>
        <w:br/>
        <w:t xml:space="preserve">№ 170-ФЗ «О техническом осмотре транспортных средств и о внесении изменений в отдельные законодательные акты Российской Федерации», приказом Федеральной антимонопольной службы от 30 июня 2022 года </w:t>
      </w:r>
      <w:r>
        <w:br/>
        <w:t xml:space="preserve">№ 489/22 «Об утверждении Методики расчета предельного размера платы за провед</w:t>
      </w:r>
      <w:r>
        <w:t xml:space="preserve">ение технического осмотра», учитывая решение заседания общественных советов при Региональной службе по тарифам Ханты-Мансийского автономного округа – Югры и Департаменте дорожного хозяйства и транспорта Ханты-Мансийского автономного округа – Югры (протокол</w:t>
      </w:r>
      <w:r>
        <w:t xml:space="preserve"> совместного</w:t>
      </w:r>
      <w:r>
        <w:t xml:space="preserve"> заседания от 14 ноября 2023 года), Правительство Ханты-Мансийского автономного округа – Югры </w:t>
      </w:r>
      <w:r>
        <w:rPr>
          <w:b/>
        </w:rPr>
        <w:t xml:space="preserve">п</w:t>
      </w:r>
      <w:r>
        <w:t xml:space="preserve"> </w:t>
      </w:r>
      <w:r>
        <w:rPr>
          <w:b/>
          <w:bCs/>
          <w:szCs w:val="28"/>
        </w:rPr>
        <w:t xml:space="preserve">о с т а н о в л я е т:</w:t>
      </w:r>
    </w:p>
    <w:p>
      <w:pPr>
        <w:tabs>
          <w:tab w:val="left" w:pos="4677" w:leader="none"/>
        </w:tabs>
        <w:spacing w:line="240" w:lineRule="auto"/>
        <w:ind w:firstLine="709"/>
      </w:pPr>
    </w:p>
    <w:p>
      <w:pPr>
        <w:spacing w:line="240" w:lineRule="auto"/>
        <w:ind w:firstLine="709"/>
      </w:pPr>
      <w:r>
        <w:rPr>
          <w:szCs w:val="28"/>
        </w:rPr>
        <w:t xml:space="preserve">1. Установить предельные </w:t>
      </w:r>
      <w:hyperlink r:id="rId12" w:tooltip="consultantplus://offline/ref=3F1F06678489C1F6997F609BB1D12FD3334B1B9F5E5A7CB23EC3060F831BADC16CD64F16A732392256127FA4I6G0L" w:history="1">
        <w:r>
          <w:rPr>
            <w:szCs w:val="28"/>
          </w:rPr>
          <w:t xml:space="preserve">размеры</w:t>
        </w:r>
      </w:hyperlink>
      <w:r>
        <w:rPr>
          <w:szCs w:val="28"/>
        </w:rPr>
        <w:t xml:space="preserve"> платы за проведение технического осмотра транспортных средств в Ханты-Мансийском автономном округе – Югре в 2024 году согласно приложению к настоящему постановлению.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240" w:lineRule="auto"/>
        <w:ind w:firstLine="709"/>
        <w:rPr>
          <w:highlight w:val="yellow"/>
        </w:rPr>
      </w:pPr>
      <w:r>
        <w:t xml:space="preserve">2. </w:t>
      </w:r>
      <w:r>
        <w:rPr>
          <w:szCs w:val="28"/>
        </w:rPr>
        <w:t xml:space="preserve">Настоящее постановление вступает в силу с 1 января 2024 года и действует по 31 декабря 2024 года.</w:t>
      </w:r>
      <w:r>
        <w:rPr>
          <w:highlight w:val="yellow"/>
        </w:rPr>
      </w:r>
    </w:p>
    <w:p>
      <w:pPr>
        <w:tabs>
          <w:tab w:val="left" w:pos="993" w:leader="none"/>
          <w:tab w:val="left" w:pos="7230" w:leader="none"/>
        </w:tabs>
        <w:spacing w:line="240" w:lineRule="auto"/>
        <w:ind w:firstLine="709"/>
      </w:pPr>
    </w:p>
    <w:p>
      <w:pPr>
        <w:tabs>
          <w:tab w:val="left" w:pos="993" w:leader="none"/>
          <w:tab w:val="left" w:pos="7230" w:leader="none"/>
        </w:tabs>
        <w:spacing w:line="240" w:lineRule="auto"/>
        <w:ind w:firstLine="709"/>
      </w:pPr>
    </w:p>
    <w:p>
      <w:pPr>
        <w:tabs>
          <w:tab w:val="left" w:pos="993" w:leader="none"/>
          <w:tab w:val="left" w:pos="7230" w:leader="none"/>
        </w:tabs>
        <w:spacing w:line="240" w:lineRule="auto"/>
        <w:ind w:firstLine="709"/>
      </w:pPr>
    </w:p>
    <w:p>
      <w:pPr>
        <w:tabs>
          <w:tab w:val="left" w:pos="2805" w:leader="none"/>
        </w:tabs>
        <w:spacing w:line="240" w:lineRule="auto"/>
      </w:pPr>
      <w:r>
        <w:rPr>
          <w:szCs w:val="28"/>
        </w:rPr>
        <w:t xml:space="preserve">Губернатор </w:t>
      </w:r>
    </w:p>
    <w:p>
      <w:pPr>
        <w:tabs>
          <w:tab w:val="left" w:pos="2805" w:leader="none"/>
        </w:tabs>
        <w:spacing w:line="240" w:lineRule="auto"/>
      </w:pPr>
      <w:r>
        <w:rPr>
          <w:szCs w:val="28"/>
        </w:rPr>
        <w:t xml:space="preserve">Ханты-Мансийского </w:t>
      </w:r>
    </w:p>
    <w:p>
      <w:pPr>
        <w:tabs>
          <w:tab w:val="left" w:pos="2805" w:leader="none"/>
        </w:tabs>
        <w:spacing w:line="240" w:lineRule="auto"/>
      </w:pPr>
      <w:r>
        <w:rPr>
          <w:szCs w:val="28"/>
        </w:rPr>
        <w:t xml:space="preserve">автономного округа – Югры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 xml:space="preserve">Н.В.Комарова</w:t>
      </w:r>
    </w:p>
    <w:p>
      <w:pPr>
        <w:spacing w:line="240" w:lineRule="auto"/>
        <w:jc w:val="right"/>
      </w:pPr>
      <w:r>
        <w:rPr>
          <w:szCs w:val="28"/>
        </w:rPr>
        <w:br w:type="page" w:clear="all"/>
      </w:r>
      <w:r>
        <w:rPr>
          <w:szCs w:val="28"/>
        </w:rPr>
        <w:t xml:space="preserve">Приложение</w:t>
      </w:r>
    </w:p>
    <w:p>
      <w:pPr>
        <w:spacing w:line="240" w:lineRule="auto"/>
        <w:jc w:val="right"/>
      </w:pPr>
      <w:r>
        <w:rPr>
          <w:szCs w:val="28"/>
        </w:rPr>
        <w:t xml:space="preserve">к постановлению Правительства</w:t>
      </w:r>
    </w:p>
    <w:p>
      <w:pPr>
        <w:spacing w:line="240" w:lineRule="auto"/>
        <w:jc w:val="right"/>
      </w:pPr>
      <w:r>
        <w:rPr>
          <w:szCs w:val="28"/>
        </w:rPr>
        <w:t xml:space="preserve">Ханты-Мансийского</w:t>
      </w:r>
    </w:p>
    <w:p>
      <w:pPr>
        <w:spacing w:line="240" w:lineRule="auto"/>
        <w:jc w:val="right"/>
      </w:pPr>
      <w:r>
        <w:rPr>
          <w:szCs w:val="28"/>
        </w:rPr>
        <w:t xml:space="preserve">автономного округа – Югры</w:t>
      </w:r>
    </w:p>
    <w:p>
      <w:pPr>
        <w:spacing w:line="240" w:lineRule="auto"/>
        <w:jc w:val="right"/>
      </w:pPr>
      <w:r>
        <w:rPr>
          <w:szCs w:val="28"/>
        </w:rPr>
        <w:t xml:space="preserve">от </w:t>
      </w:r>
      <w:r>
        <w:rPr>
          <w:szCs w:val="28"/>
        </w:rPr>
        <w:t xml:space="preserve">24 ноября</w:t>
      </w:r>
      <w:r>
        <w:rPr>
          <w:szCs w:val="28"/>
        </w:rPr>
        <w:t xml:space="preserve"> 2023 года № 587-п</w:t>
      </w:r>
    </w:p>
    <w:p>
      <w:pPr>
        <w:spacing w:line="240" w:lineRule="auto"/>
      </w:pPr>
    </w:p>
    <w:p>
      <w:pPr>
        <w:spacing w:line="240" w:lineRule="auto"/>
      </w:pPr>
    </w:p>
    <w:p>
      <w:pPr>
        <w:tabs>
          <w:tab w:val="left" w:pos="567" w:leader="none"/>
        </w:tabs>
        <w:spacing w:line="240" w:lineRule="auto"/>
        <w:jc w:val="center"/>
      </w:pPr>
      <w:r>
        <w:t xml:space="preserve">Предельные размеры</w:t>
      </w:r>
    </w:p>
    <w:p>
      <w:pPr>
        <w:tabs>
          <w:tab w:val="left" w:pos="567" w:leader="none"/>
        </w:tabs>
        <w:spacing w:line="240" w:lineRule="auto"/>
        <w:jc w:val="center"/>
      </w:pPr>
      <w:r>
        <w:t xml:space="preserve">платы за проведение технического осмотра транспортных средств </w:t>
      </w:r>
    </w:p>
    <w:p>
      <w:pPr>
        <w:tabs>
          <w:tab w:val="left" w:pos="567" w:leader="none"/>
        </w:tabs>
        <w:spacing w:line="240" w:lineRule="auto"/>
        <w:jc w:val="center"/>
        <w:rPr>
          <w:sz w:val="56"/>
          <w:szCs w:val="56"/>
        </w:rPr>
      </w:pPr>
      <w:r>
        <w:t xml:space="preserve">в Ханты-Мансийском автономном округе – Югре в 2024 году</w:t>
      </w:r>
      <w:r>
        <w:rPr>
          <w:sz w:val="56"/>
          <w:szCs w:val="56"/>
        </w:rPr>
      </w:r>
    </w:p>
    <w:p>
      <w:pPr>
        <w:tabs>
          <w:tab w:val="left" w:pos="567" w:leader="none"/>
        </w:tabs>
        <w:spacing w:line="240" w:lineRule="auto"/>
        <w:jc w:val="center"/>
      </w:pPr>
    </w:p>
    <w:tbl>
      <w:tblPr>
        <w:tblStyle w:val="893"/>
        <w:tblW w:w="8906" w:type="dxa"/>
        <w:tblLook w:val="04A0" w:firstRow="1" w:lastRow="0" w:firstColumn="1" w:lastColumn="0" w:noHBand="0" w:noVBand="1"/>
      </w:tblPr>
      <w:tblGrid>
        <w:gridCol w:w="720"/>
        <w:gridCol w:w="6666"/>
        <w:gridCol w:w="1520"/>
      </w:tblGrid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транспортных средств *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платы, руб. **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720" w:type="dxa"/>
            <w:vMerge w:val="restart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vMerge w:val="restart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vMerge w:val="restart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М1 (транспортные средства, используемые для перевозки пассажиров и имеющие, помимо места 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более 8 мест для сидения,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легковые автомобили)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1021,83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М2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1749,31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М3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2113,05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(транспортные средства, предназначенные для перевозки грузов, имеющие технически допустимую максимальную массу не более 3,5 тонны)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1118,08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(транспортные средства, предназначенные для перевозки грузов, имеющие технически допустимую максимальную массу свыше 3,5 тонны, но не более 12 тонн)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2038,06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(транспортные средства, предназначенные для перевозки грузов, имеющие технически допустимую максимальную массу более 12 тонн)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2200,35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vMerge w:val="restart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О1 (прицепы, технически допустимая максимальная масса которых не более 0,75 тонны)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vMerge w:val="restart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842,76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vMerge w:val="continue"/>
            <w:noWrap w:val="false"/>
            <w:textDirection w:val="lrTb"/>
          </w:tcPr>
          <w:p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О2 (прицепы, технически допустимая максимальная масса которых свыше 0,75 тонны, но не более 3,5 тонны)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vMerge w:val="continue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vMerge w:val="restart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О3 (прицепы, технически допустимая максимальная масса которых свыше 3,5 тонны, но не более 10 тонн)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vMerge w:val="restart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1423,62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vMerge w:val="continue"/>
            <w:noWrap w:val="false"/>
            <w:textDirection w:val="lrTb"/>
          </w:tcPr>
          <w:p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О4 (прицепы, технически допустимая максимальная масса которых более 10 тонн)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vMerge w:val="continue"/>
            <w:noWrap w:val="false"/>
            <w:textDirection w:val="lrTb"/>
          </w:tcPr>
          <w:p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мототранспортные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средства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359,26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оперативных служб (на базе М1)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1089,95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оперативных служб (на базе М2)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1749,31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оперативных служб (на базе М3)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1995,66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оперативных служб (на базе N1), цистерны (на базе N1), цистерны для перевозки и заправки сжиженных углеводородных газов (на базе N1), фургоны (на базе N1), фургоны, имеющие места для перевозки людей (на базе N1),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автоэвакуаторы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базе N1)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1187,96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оперативных служб (на базе N2),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автоэвакуаторы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базе N2),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ранспортные средства c грузоподъемными устройствами (на базе N2), цистерны (на базе N2), цистерны для перевозки и заправки сжиженных углеводородных газов (на базе N2), фургоны (на базе N2), транспортные средства для перевозки пищевых продуктов (на базе N2)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2135,11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оперативных служб (на базе N3),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автоэвакуаторы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базе N3),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ранспортные средства с грузоподъемными устройствами (на базе N3), цистерны (на базе N3), цистерны для перевозки и заправки сжиженных углеводородных газов (на базе N3), фургоны (на базе N3), транспортные средства для перевозки пищевых продуктов (на базе N3)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2297,42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оперативных служб (на базе О1, О2), цистерны (на базе О1, О2), цистерны для перевозки и заправки сжиженных углеводородных газов (на базе О1, О2), транспортные средства для перевозки пищевых продуктов (на базе О1, О2)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876,47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W w:w="720" w:type="dxa"/>
            <w:vMerge w:val="restart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vMerge w:val="restart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оперативных служб (на базе О3, О4),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автоэвакуаторы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базе О3, О4), транспортные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грузоподъемными устройствами (на базе О3, О4), цистерны (на базе О3, О4), цистерны для перевозки и заправки сжиженных углеводородных газов (на базе О3, О4), фургоны (на базе О3, О4), транспортные средства для перевозки пищевых продуктов (на базе О3, О4)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vMerge w:val="restart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1488,33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оперативных служб (на базе L)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395,19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транспортные средства (на базе N1), цистерны для перевозки и заправки нефтепродуктов (на базе N1)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1292,78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транспортные средства (на базе N2), цистерны для перевозки и заправки нефтепродуктов (на базе N2), транспортные средства – фургоны, имеющие места для перевозки людей (на базе N2)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2329,21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транспортные средства 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базе N3), фургоны, имеющие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для перевозки людей (на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базе N3), цистерны для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возки и заправки нефтепродуктов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базе N3)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2523,93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транспортные средства (на базе О1, О2)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977,60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транспортные средства (на базе О3, О4)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1650,11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N1)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1222,90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N2), транспортные средства для перевозки грузов с использованием прицепа-роспуска (на базе N2)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2232,16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N3), транспортные средства для перевозки грузов с использованием прицепа-роспуска (на базе N3)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2426,86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О1, О2), транспортные средства – цистерны для перевозки и заправки нефтепродуктов (на базе О1, О2)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943,89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транспортные средства для коммунального хозяйства и содержания дорог (на базе О3, О4), транспортные средства – цистерны для перевозки и заправки нефтепродуктов (на базе О3, О4)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1553,04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для перевозки опасных грузов (на базе N1)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1467,48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для перевозки опасных грузов (на базе N2)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2652,71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для перевозки опасных грузов (на базе N3)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2847,51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для перевозки опасных грузов (на базе О1, О2)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1011,31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666" w:type="dxa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для перевозки опасных грузов (на базе О3, О4)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noWrap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1714,82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tabs>
          <w:tab w:val="left" w:pos="567" w:leader="none"/>
        </w:tabs>
        <w:spacing w:line="240" w:lineRule="auto"/>
        <w:jc w:val="left"/>
        <w:rPr>
          <w:b/>
          <w:lang w:val="en-US"/>
        </w:rPr>
      </w:pPr>
      <w:r>
        <w:rPr>
          <w:b/>
          <w:lang w:val="en-US"/>
        </w:rPr>
      </w:r>
      <w:r>
        <w:rPr>
          <w:b/>
          <w:lang w:val="en-US"/>
        </w:rPr>
      </w:r>
    </w:p>
    <w:p>
      <w:pPr>
        <w:tabs>
          <w:tab w:val="left" w:pos="567" w:leader="none"/>
        </w:tabs>
        <w:spacing w:line="240" w:lineRule="auto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Примечания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tabs>
          <w:tab w:val="left" w:pos="567" w:leader="none"/>
        </w:tabs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 Категории транспортных средств соответствуют классификации, установленной в приложении № 1 к техническому регламенту Таможенного союза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«О безопасности колесных транспортных средств» (ТР ТС 018/2011), утвержденному решением Комиссии Таможенного союза от 9 декабря 2011 года № 877. </w:t>
      </w:r>
      <w:r>
        <w:rPr>
          <w:sz w:val="24"/>
          <w:szCs w:val="24"/>
        </w:rPr>
      </w:r>
    </w:p>
    <w:p>
      <w:pPr>
        <w:tabs>
          <w:tab w:val="left" w:pos="567" w:leader="none"/>
        </w:tabs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** Не подлежит налогообложению налогом на добавленную стоимость в соответствии со статьей 149 Налогового кодекса Российской Федерации.</w:t>
      </w:r>
      <w:r>
        <w:rPr>
          <w:color w:val="000000"/>
          <w:sz w:val="24"/>
          <w:szCs w:val="24"/>
        </w:rPr>
      </w:r>
    </w:p>
    <w:sectPr>
      <w:headerReference w:type="default" r:id="rId9"/>
      <w:footnotePr/>
      <w:endnotePr/>
      <w:type w:val="nextPage"/>
      <w:pgSz w:w="11909" w:h="16834" w:orient="portrait"/>
      <w:pgMar w:top="1418" w:right="1276" w:bottom="1134" w:left="1559" w:header="720" w:footer="1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 xml:space="preserve">4</w:t>
    </w:r>
    <w:r>
      <w:rPr>
        <w:sz w:val="20"/>
      </w:rPr>
      <w:fldChar w:fldCharType="end"/>
    </w:r>
    <w:r>
      <w:rPr>
        <w:sz w:val="20"/>
      </w:rPr>
    </w:r>
  </w:p>
  <w:p>
    <w:pPr>
      <w:pStyle w:val="8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7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79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11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15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19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23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27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31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07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425" w:leader="none"/>
        </w:tabs>
        <w:ind w:left="1425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620" w:leader="none"/>
        </w:tabs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340" w:leader="none"/>
        </w:tabs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3060" w:leader="none"/>
        </w:tabs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780" w:leader="none"/>
        </w:tabs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500" w:leader="none"/>
        </w:tabs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220" w:leader="none"/>
        </w:tabs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940" w:leader="none"/>
        </w:tabs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660" w:leader="none"/>
        </w:tabs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69" w:leader="none"/>
        </w:tabs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69" w:leader="none"/>
        </w:tabs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425" w:leader="none"/>
        </w:tabs>
        <w:ind w:left="1425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620" w:leader="none"/>
        </w:tabs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340" w:leader="none"/>
        </w:tabs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3060" w:leader="none"/>
        </w:tabs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780" w:leader="none"/>
        </w:tabs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500" w:leader="none"/>
        </w:tabs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220" w:leader="none"/>
        </w:tabs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940" w:leader="none"/>
        </w:tabs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660" w:leader="none"/>
        </w:tabs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suff w:val="tab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 w:default="1">
    <w:name w:val="Normal"/>
    <w:qFormat/>
    <w:pPr>
      <w:spacing w:line="360" w:lineRule="atLeast"/>
      <w:jc w:val="both"/>
    </w:pPr>
    <w:rPr>
      <w:sz w:val="28"/>
    </w:rPr>
  </w:style>
  <w:style w:type="paragraph" w:styleId="697">
    <w:name w:val="Heading 1"/>
    <w:basedOn w:val="696"/>
    <w:next w:val="696"/>
    <w:link w:val="724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698">
    <w:name w:val="Heading 2"/>
    <w:basedOn w:val="696"/>
    <w:next w:val="696"/>
    <w:link w:val="725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99">
    <w:name w:val="Heading 3"/>
    <w:basedOn w:val="696"/>
    <w:next w:val="696"/>
    <w:link w:val="726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00">
    <w:name w:val="Heading 4"/>
    <w:basedOn w:val="696"/>
    <w:next w:val="696"/>
    <w:link w:val="727"/>
    <w:qFormat/>
    <w:pPr>
      <w:keepNext/>
      <w:spacing w:before="240" w:after="60"/>
      <w:outlineLvl w:val="3"/>
    </w:pPr>
    <w:rPr>
      <w:b/>
      <w:bCs/>
      <w:szCs w:val="28"/>
    </w:rPr>
  </w:style>
  <w:style w:type="paragraph" w:styleId="701">
    <w:name w:val="Heading 5"/>
    <w:basedOn w:val="696"/>
    <w:next w:val="696"/>
    <w:link w:val="728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02">
    <w:name w:val="Heading 6"/>
    <w:basedOn w:val="696"/>
    <w:next w:val="696"/>
    <w:link w:val="72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696"/>
    <w:next w:val="696"/>
    <w:link w:val="73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696"/>
    <w:next w:val="696"/>
    <w:link w:val="731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696"/>
    <w:next w:val="696"/>
    <w:link w:val="732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Heading 1 Char"/>
    <w:basedOn w:val="706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Heading 2 Char"/>
    <w:basedOn w:val="706"/>
    <w:uiPriority w:val="9"/>
    <w:rPr>
      <w:rFonts w:ascii="Arial" w:hAnsi="Arial" w:eastAsia="Arial" w:cs="Arial"/>
      <w:sz w:val="34"/>
    </w:rPr>
  </w:style>
  <w:style w:type="character" w:styleId="711" w:customStyle="1">
    <w:name w:val="Heading 3 Char"/>
    <w:basedOn w:val="706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Heading 4 Char"/>
    <w:basedOn w:val="706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Heading 5 Char"/>
    <w:basedOn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Heading 6 Char"/>
    <w:basedOn w:val="706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Heading 7 Char"/>
    <w:basedOn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Heading 8 Char"/>
    <w:basedOn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Heading 9 Char"/>
    <w:basedOn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718" w:customStyle="1">
    <w:name w:val="Subtitle Char"/>
    <w:basedOn w:val="706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Caption Char"/>
    <w:uiPriority w:val="99"/>
  </w:style>
  <w:style w:type="character" w:styleId="722" w:customStyle="1">
    <w:name w:val="Footnote Text Char"/>
    <w:uiPriority w:val="99"/>
    <w:rPr>
      <w:sz w:val="18"/>
    </w:rPr>
  </w:style>
  <w:style w:type="character" w:styleId="723" w:customStyle="1">
    <w:name w:val="Endnote Text Char"/>
    <w:uiPriority w:val="99"/>
    <w:rPr>
      <w:sz w:val="20"/>
    </w:rPr>
  </w:style>
  <w:style w:type="character" w:styleId="724" w:customStyle="1">
    <w:name w:val="Заголовок 1 Знак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Заголовок 2 Знак"/>
    <w:basedOn w:val="706"/>
    <w:link w:val="698"/>
    <w:uiPriority w:val="9"/>
    <w:rPr>
      <w:rFonts w:ascii="Arial" w:hAnsi="Arial" w:eastAsia="Arial" w:cs="Arial"/>
      <w:sz w:val="34"/>
    </w:rPr>
  </w:style>
  <w:style w:type="character" w:styleId="726" w:customStyle="1">
    <w:name w:val="Заголовок 3 Знак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Заголовок 4 Знак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Заголовок 5 Знак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Заголовок 6 Знак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Заголовок 7 Знак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Заголовок 8 Знак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Заголовок 9 Знак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733" w:customStyle="1">
    <w:name w:val="Title Char"/>
    <w:basedOn w:val="706"/>
    <w:uiPriority w:val="10"/>
    <w:rPr>
      <w:sz w:val="48"/>
      <w:szCs w:val="48"/>
    </w:rPr>
  </w:style>
  <w:style w:type="paragraph" w:styleId="734">
    <w:name w:val="Subtitle"/>
    <w:basedOn w:val="696"/>
    <w:next w:val="696"/>
    <w:link w:val="735"/>
    <w:uiPriority w:val="11"/>
    <w:qFormat/>
    <w:pPr>
      <w:spacing w:before="200" w:after="200"/>
    </w:pPr>
    <w:rPr>
      <w:sz w:val="24"/>
      <w:szCs w:val="24"/>
    </w:rPr>
  </w:style>
  <w:style w:type="character" w:styleId="735" w:customStyle="1">
    <w:name w:val="Подзаголовок Знак"/>
    <w:basedOn w:val="706"/>
    <w:link w:val="734"/>
    <w:uiPriority w:val="11"/>
    <w:rPr>
      <w:sz w:val="24"/>
      <w:szCs w:val="24"/>
    </w:rPr>
  </w:style>
  <w:style w:type="paragraph" w:styleId="736">
    <w:name w:val="Quote"/>
    <w:basedOn w:val="696"/>
    <w:next w:val="696"/>
    <w:link w:val="737"/>
    <w:uiPriority w:val="29"/>
    <w:qFormat/>
    <w:pPr>
      <w:ind w:left="720" w:right="720"/>
    </w:pPr>
    <w:rPr>
      <w:i/>
    </w:r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696"/>
    <w:next w:val="696"/>
    <w:link w:val="73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39" w:customStyle="1">
    <w:name w:val="Выделенная цитата Знак"/>
    <w:link w:val="738"/>
    <w:uiPriority w:val="30"/>
    <w:rPr>
      <w:i/>
    </w:rPr>
  </w:style>
  <w:style w:type="character" w:styleId="740" w:customStyle="1">
    <w:name w:val="Header Char"/>
    <w:basedOn w:val="706"/>
    <w:uiPriority w:val="99"/>
  </w:style>
  <w:style w:type="character" w:styleId="741" w:customStyle="1">
    <w:name w:val="Footer Char"/>
    <w:basedOn w:val="706"/>
    <w:uiPriority w:val="99"/>
  </w:style>
  <w:style w:type="paragraph" w:styleId="742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3" w:customStyle="1">
    <w:name w:val="Нижний колонтитул Знак"/>
    <w:link w:val="887"/>
    <w:uiPriority w:val="99"/>
  </w:style>
  <w:style w:type="table" w:styleId="744" w:customStyle="1">
    <w:name w:val="Table Grid Light"/>
    <w:basedOn w:val="70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basedOn w:val="70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basedOn w:val="707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0">
    <w:name w:val="Grid Table 1 Light"/>
    <w:basedOn w:val="707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0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0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0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0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0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0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basedOn w:val="70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8" w:customStyle="1">
    <w:name w:val="Grid Table 2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9" w:customStyle="1">
    <w:name w:val="Grid Table 2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0" w:customStyle="1">
    <w:name w:val="Grid Table 2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1" w:customStyle="1">
    <w:name w:val="Grid Table 2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2" w:customStyle="1">
    <w:name w:val="Grid Table 2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3" w:customStyle="1">
    <w:name w:val="Grid Table 2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4">
    <w:name w:val="Grid Table 3"/>
    <w:basedOn w:val="70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5" w:customStyle="1">
    <w:name w:val="Grid Table 3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6" w:customStyle="1">
    <w:name w:val="Grid Table 3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7" w:customStyle="1">
    <w:name w:val="Grid Table 3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8" w:customStyle="1">
    <w:name w:val="Grid Table 3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9" w:customStyle="1">
    <w:name w:val="Grid Table 3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0" w:customStyle="1">
    <w:name w:val="Grid Table 3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1">
    <w:name w:val="Grid Table 4"/>
    <w:basedOn w:val="707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 w:customStyle="1">
    <w:name w:val="Grid Table 4 - Accent 1"/>
    <w:basedOn w:val="707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3" w:customStyle="1">
    <w:name w:val="Grid Table 4 - Accent 2"/>
    <w:basedOn w:val="707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4" w:customStyle="1">
    <w:name w:val="Grid Table 4 - Accent 3"/>
    <w:basedOn w:val="707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5" w:customStyle="1">
    <w:name w:val="Grid Table 4 - Accent 4"/>
    <w:basedOn w:val="707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6" w:customStyle="1">
    <w:name w:val="Grid Table 4 - Accent 5"/>
    <w:basedOn w:val="707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7" w:customStyle="1">
    <w:name w:val="Grid Table 4 - Accent 6"/>
    <w:basedOn w:val="707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8">
    <w:name w:val="Grid Table 5 Dark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79" w:customStyle="1">
    <w:name w:val="Grid Table 5 Dark- Accent 1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780" w:customStyle="1">
    <w:name w:val="Grid Table 5 Dark - Accent 2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</w:style>
  <w:style w:type="table" w:styleId="781" w:customStyle="1">
    <w:name w:val="Grid Table 5 Dark - Accent 3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</w:style>
  <w:style w:type="table" w:styleId="782" w:customStyle="1">
    <w:name w:val="Grid Table 5 Dark- Accent 4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</w:style>
  <w:style w:type="table" w:styleId="783" w:customStyle="1">
    <w:name w:val="Grid Table 5 Dark - Accent 5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</w:style>
  <w:style w:type="table" w:styleId="784" w:customStyle="1">
    <w:name w:val="Grid Table 5 Dark - Accent 6"/>
    <w:basedOn w:val="70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</w:style>
  <w:style w:type="table" w:styleId="785">
    <w:name w:val="Grid Table 6 Colorful"/>
    <w:basedOn w:val="70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07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7" w:customStyle="1">
    <w:name w:val="Grid Table 6 Colorful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8" w:customStyle="1">
    <w:name w:val="Grid Table 6 Colorful - Accent 3"/>
    <w:basedOn w:val="707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9" w:customStyle="1">
    <w:name w:val="Grid Table 6 Colorful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0" w:customStyle="1">
    <w:name w:val="Grid Table 6 Colorful - Accent 5"/>
    <w:basedOn w:val="707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 w:customStyle="1">
    <w:name w:val="Grid Table 6 Colorful - Accent 6"/>
    <w:basedOn w:val="707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>
    <w:name w:val="Grid Table 7 Colorful"/>
    <w:basedOn w:val="707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3" w:customStyle="1">
    <w:name w:val="Grid Table 7 Colorful - Accent 1"/>
    <w:basedOn w:val="707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4" w:customStyle="1">
    <w:name w:val="Grid Table 7 Colorful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5" w:customStyle="1">
    <w:name w:val="Grid Table 7 Colorful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6" w:customStyle="1">
    <w:name w:val="Grid Table 7 Colorful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7" w:customStyle="1">
    <w:name w:val="Grid Table 7 Colorful - Accent 5"/>
    <w:basedOn w:val="707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8" w:customStyle="1">
    <w:name w:val="Grid Table 7 Colorful - Accent 6"/>
    <w:basedOn w:val="707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9">
    <w:name w:val="List Table 1 Light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1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2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6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basedOn w:val="707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1"/>
    <w:basedOn w:val="70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2"/>
    <w:basedOn w:val="70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3"/>
    <w:basedOn w:val="70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4"/>
    <w:basedOn w:val="70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5"/>
    <w:basedOn w:val="70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6"/>
    <w:basedOn w:val="70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3">
    <w:name w:val="List Table 3"/>
    <w:basedOn w:val="70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0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0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0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0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basedOn w:val="70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0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0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0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0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0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0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basedOn w:val="70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07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0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0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0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>
    <w:name w:val="List Table 6 Colorful"/>
    <w:basedOn w:val="70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5" w:customStyle="1">
    <w:name w:val="List Table 6 Colorful - Accent 1"/>
    <w:basedOn w:val="70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6" w:customStyle="1">
    <w:name w:val="List Table 6 Colorful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7" w:customStyle="1">
    <w:name w:val="List Table 6 Colorful - Accent 3"/>
    <w:basedOn w:val="70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8" w:customStyle="1">
    <w:name w:val="List Table 6 Colorful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9" w:customStyle="1">
    <w:name w:val="List Table 6 Colorful - Accent 5"/>
    <w:basedOn w:val="70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0" w:customStyle="1">
    <w:name w:val="List Table 6 Colorful - Accent 6"/>
    <w:basedOn w:val="70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1">
    <w:name w:val="List Table 7 Colorful"/>
    <w:basedOn w:val="707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2" w:customStyle="1">
    <w:name w:val="List Table 7 Colorful - Accent 1"/>
    <w:basedOn w:val="707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3" w:customStyle="1">
    <w:name w:val="List Table 7 Colorful - Accent 2"/>
    <w:basedOn w:val="707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4" w:customStyle="1">
    <w:name w:val="List Table 7 Colorful - Accent 3"/>
    <w:basedOn w:val="707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5" w:customStyle="1">
    <w:name w:val="List Table 7 Colorful - Accent 4"/>
    <w:basedOn w:val="707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6" w:customStyle="1">
    <w:name w:val="List Table 7 Colorful - Accent 5"/>
    <w:basedOn w:val="707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7" w:customStyle="1">
    <w:name w:val="List Table 7 Colorful - Accent 6"/>
    <w:basedOn w:val="707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8" w:customStyle="1">
    <w:name w:val="Lined - Accent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9" w:customStyle="1">
    <w:name w:val="Lined - Accent 1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0" w:customStyle="1">
    <w:name w:val="Lined - Accent 2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1" w:customStyle="1">
    <w:name w:val="Lined - Accent 3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2" w:customStyle="1">
    <w:name w:val="Lined - Accent 4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3" w:customStyle="1">
    <w:name w:val="Lined - Accent 5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4" w:customStyle="1">
    <w:name w:val="Lined - Accent 6"/>
    <w:basedOn w:val="707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5" w:customStyle="1">
    <w:name w:val="Bordered &amp; Lined - Accent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6" w:customStyle="1">
    <w:name w:val="Bordered &amp; Lined - Accent 1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7" w:customStyle="1">
    <w:name w:val="Bordered &amp; Lined - Accent 2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8" w:customStyle="1">
    <w:name w:val="Bordered &amp; Lined - Accent 3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9" w:customStyle="1">
    <w:name w:val="Bordered &amp; Lined - Accent 4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0" w:customStyle="1">
    <w:name w:val="Bordered &amp; Lined - Accent 5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1" w:customStyle="1">
    <w:name w:val="Bordered &amp; Lined - Accent 6"/>
    <w:basedOn w:val="707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2" w:customStyle="1">
    <w:name w:val="Bordered"/>
    <w:basedOn w:val="707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3" w:customStyle="1">
    <w:name w:val="Bordered - Accent 1"/>
    <w:basedOn w:val="70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4" w:customStyle="1">
    <w:name w:val="Bordered - Accent 2"/>
    <w:basedOn w:val="70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5" w:customStyle="1">
    <w:name w:val="Bordered - Accent 3"/>
    <w:basedOn w:val="70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6" w:customStyle="1">
    <w:name w:val="Bordered - Accent 4"/>
    <w:basedOn w:val="70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7" w:customStyle="1">
    <w:name w:val="Bordered - Accent 5"/>
    <w:basedOn w:val="70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8" w:customStyle="1">
    <w:name w:val="Bordered - Accent 6"/>
    <w:basedOn w:val="70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9" w:customStyle="1">
    <w:name w:val="Текст сноски Знак"/>
    <w:link w:val="884"/>
    <w:uiPriority w:val="99"/>
    <w:rPr>
      <w:sz w:val="18"/>
    </w:rPr>
  </w:style>
  <w:style w:type="paragraph" w:styleId="870">
    <w:name w:val="endnote text"/>
    <w:basedOn w:val="696"/>
    <w:link w:val="871"/>
    <w:uiPriority w:val="99"/>
    <w:semiHidden/>
    <w:unhideWhenUsed/>
    <w:pPr>
      <w:spacing w:line="240" w:lineRule="auto"/>
    </w:pPr>
    <w:rPr>
      <w:sz w:val="20"/>
    </w:rPr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basedOn w:val="706"/>
    <w:uiPriority w:val="99"/>
    <w:semiHidden/>
    <w:unhideWhenUsed/>
    <w:rPr>
      <w:vertAlign w:val="superscript"/>
    </w:rPr>
  </w:style>
  <w:style w:type="paragraph" w:styleId="873">
    <w:name w:val="toc 1"/>
    <w:basedOn w:val="696"/>
    <w:next w:val="696"/>
    <w:uiPriority w:val="39"/>
    <w:unhideWhenUsed/>
    <w:pPr>
      <w:spacing w:after="57"/>
    </w:pPr>
  </w:style>
  <w:style w:type="paragraph" w:styleId="874">
    <w:name w:val="toc 2"/>
    <w:basedOn w:val="696"/>
    <w:next w:val="696"/>
    <w:uiPriority w:val="39"/>
    <w:unhideWhenUsed/>
    <w:pPr>
      <w:spacing w:after="57"/>
      <w:ind w:left="283"/>
    </w:pPr>
  </w:style>
  <w:style w:type="paragraph" w:styleId="875">
    <w:name w:val="toc 3"/>
    <w:basedOn w:val="696"/>
    <w:next w:val="696"/>
    <w:uiPriority w:val="39"/>
    <w:unhideWhenUsed/>
    <w:pPr>
      <w:spacing w:after="57"/>
      <w:ind w:left="567"/>
    </w:pPr>
  </w:style>
  <w:style w:type="paragraph" w:styleId="876">
    <w:name w:val="toc 4"/>
    <w:basedOn w:val="696"/>
    <w:next w:val="696"/>
    <w:uiPriority w:val="39"/>
    <w:unhideWhenUsed/>
    <w:pPr>
      <w:spacing w:after="57"/>
      <w:ind w:left="850"/>
    </w:pPr>
  </w:style>
  <w:style w:type="paragraph" w:styleId="877">
    <w:name w:val="toc 5"/>
    <w:basedOn w:val="696"/>
    <w:next w:val="696"/>
    <w:uiPriority w:val="39"/>
    <w:unhideWhenUsed/>
    <w:pPr>
      <w:spacing w:after="57"/>
      <w:ind w:left="1134"/>
    </w:pPr>
  </w:style>
  <w:style w:type="paragraph" w:styleId="878">
    <w:name w:val="toc 6"/>
    <w:basedOn w:val="696"/>
    <w:next w:val="696"/>
    <w:uiPriority w:val="39"/>
    <w:unhideWhenUsed/>
    <w:pPr>
      <w:spacing w:after="57"/>
      <w:ind w:left="1417"/>
    </w:pPr>
  </w:style>
  <w:style w:type="paragraph" w:styleId="879">
    <w:name w:val="toc 7"/>
    <w:basedOn w:val="696"/>
    <w:next w:val="696"/>
    <w:uiPriority w:val="39"/>
    <w:unhideWhenUsed/>
    <w:pPr>
      <w:spacing w:after="57"/>
      <w:ind w:left="1701"/>
    </w:pPr>
  </w:style>
  <w:style w:type="paragraph" w:styleId="880">
    <w:name w:val="toc 8"/>
    <w:basedOn w:val="696"/>
    <w:next w:val="696"/>
    <w:uiPriority w:val="39"/>
    <w:unhideWhenUsed/>
    <w:pPr>
      <w:spacing w:after="57"/>
      <w:ind w:left="1984"/>
    </w:pPr>
  </w:style>
  <w:style w:type="paragraph" w:styleId="881">
    <w:name w:val="toc 9"/>
    <w:basedOn w:val="696"/>
    <w:next w:val="696"/>
    <w:uiPriority w:val="39"/>
    <w:unhideWhenUsed/>
    <w:pPr>
      <w:spacing w:after="57"/>
      <w:ind w:left="2268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696"/>
    <w:next w:val="696"/>
    <w:uiPriority w:val="99"/>
    <w:unhideWhenUsed/>
  </w:style>
  <w:style w:type="paragraph" w:styleId="884">
    <w:name w:val="footnote text"/>
    <w:basedOn w:val="696"/>
    <w:link w:val="869"/>
    <w:semiHidden/>
    <w:pPr>
      <w:spacing w:line="240" w:lineRule="auto"/>
      <w:jc w:val="left"/>
    </w:pPr>
    <w:rPr>
      <w:sz w:val="20"/>
    </w:rPr>
  </w:style>
  <w:style w:type="character" w:styleId="885">
    <w:name w:val="footnote reference"/>
    <w:basedOn w:val="706"/>
    <w:semiHidden/>
    <w:rPr>
      <w:vertAlign w:val="superscript"/>
    </w:rPr>
  </w:style>
  <w:style w:type="paragraph" w:styleId="886">
    <w:name w:val="Header"/>
    <w:basedOn w:val="696"/>
    <w:link w:val="895"/>
    <w:uiPriority w:val="99"/>
    <w:pPr>
      <w:tabs>
        <w:tab w:val="center" w:pos="4677" w:leader="none"/>
        <w:tab w:val="right" w:pos="9355" w:leader="none"/>
      </w:tabs>
    </w:pPr>
  </w:style>
  <w:style w:type="paragraph" w:styleId="887">
    <w:name w:val="Footer"/>
    <w:basedOn w:val="696"/>
    <w:link w:val="743"/>
    <w:pPr>
      <w:tabs>
        <w:tab w:val="center" w:pos="4677" w:leader="none"/>
        <w:tab w:val="right" w:pos="9355" w:leader="none"/>
      </w:tabs>
    </w:pPr>
  </w:style>
  <w:style w:type="paragraph" w:styleId="888" w:customStyle="1">
    <w:name w:val="ConsPlusTitle"/>
    <w:uiPriority w:val="99"/>
    <w:rPr>
      <w:b/>
      <w:bCs/>
      <w:sz w:val="28"/>
      <w:szCs w:val="28"/>
    </w:rPr>
  </w:style>
  <w:style w:type="paragraph" w:styleId="889" w:customStyle="1">
    <w:name w:val="ConsPlusNormal"/>
    <w:pPr>
      <w:widowControl w:val="off"/>
      <w:ind w:firstLine="720"/>
    </w:pPr>
    <w:rPr>
      <w:rFonts w:ascii="Arial" w:hAnsi="Arial" w:cs="Arial"/>
    </w:rPr>
  </w:style>
  <w:style w:type="paragraph" w:styleId="890">
    <w:name w:val="No Spacing"/>
    <w:uiPriority w:val="1"/>
    <w:qFormat/>
    <w:pPr>
      <w:jc w:val="both"/>
    </w:pPr>
    <w:rPr>
      <w:sz w:val="28"/>
    </w:rPr>
  </w:style>
  <w:style w:type="paragraph" w:styleId="891">
    <w:name w:val="Title"/>
    <w:basedOn w:val="696"/>
    <w:link w:val="892"/>
    <w:qFormat/>
    <w:pPr>
      <w:spacing w:line="240" w:lineRule="auto"/>
      <w:jc w:val="center"/>
    </w:pPr>
    <w:rPr>
      <w:sz w:val="24"/>
    </w:rPr>
  </w:style>
  <w:style w:type="character" w:styleId="892" w:customStyle="1">
    <w:name w:val="Название Знак"/>
    <w:basedOn w:val="706"/>
    <w:link w:val="891"/>
    <w:rPr>
      <w:sz w:val="24"/>
    </w:rPr>
  </w:style>
  <w:style w:type="table" w:styleId="893">
    <w:name w:val="Table Grid"/>
    <w:basedOn w:val="707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4">
    <w:name w:val="List Paragraph"/>
    <w:basedOn w:val="696"/>
    <w:uiPriority w:val="34"/>
    <w:qFormat/>
    <w:pPr>
      <w:ind w:left="708"/>
    </w:pPr>
  </w:style>
  <w:style w:type="character" w:styleId="895" w:customStyle="1">
    <w:name w:val="Верхний колонтитул Знак"/>
    <w:basedOn w:val="706"/>
    <w:link w:val="886"/>
    <w:uiPriority w:val="99"/>
    <w:rPr>
      <w:sz w:val="28"/>
    </w:rPr>
  </w:style>
  <w:style w:type="paragraph" w:styleId="896">
    <w:name w:val="Balloon Text"/>
    <w:basedOn w:val="696"/>
    <w:semiHidden/>
    <w:rPr>
      <w:rFonts w:ascii="Tahoma" w:hAnsi="Tahoma" w:cs="Tahoma"/>
      <w:sz w:val="16"/>
      <w:szCs w:val="16"/>
    </w:rPr>
  </w:style>
  <w:style w:type="paragraph" w:styleId="897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898">
    <w:name w:val="Hyperlink"/>
    <w:basedOn w:val="706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048426F884E6CACBE9725BA7461215A3D6962F830433D55651899C2363E2A00D36AA34BA2DD74ECBn1E3L" TargetMode="External"/><Relationship Id="rId12" Type="http://schemas.openxmlformats.org/officeDocument/2006/relationships/hyperlink" Target="consultantplus://offline/ref=3F1F06678489C1F6997F609BB1D12FD3334B1B9F5E5A7CB23EC3060F831BADC16CD64F16A732392256127FA4I6G0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7440-464F-4F75-92B8-3FDB39BC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revision>6</cp:revision>
  <dcterms:created xsi:type="dcterms:W3CDTF">2023-11-20T04:36:00Z</dcterms:created>
  <dcterms:modified xsi:type="dcterms:W3CDTF">2023-11-24T11:57:53Z</dcterms:modified>
</cp:coreProperties>
</file>