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</w:rPr>
      </w:r>
      <w:r>
        <w:rPr>
          <w:rFonts w:ascii="Times New Roman" w:hAnsi="Times New Roman"/>
          <w:b/>
          <w:bCs/>
          <w:sz w:val="24"/>
          <w:szCs w:val="24"/>
        </w:rPr>
        <w:t xml:space="preserve">О медицинском обслуживании </w:t>
      </w:r>
      <w:r>
        <w:rPr>
          <w:rFonts w:ascii="Times New Roman" w:hAnsi="Times New Roman"/>
          <w:b/>
          <w:bCs/>
          <w:sz w:val="24"/>
          <w:szCs w:val="24"/>
        </w:rPr>
        <w:t xml:space="preserve">населения города Урай. </w:t>
      </w:r>
      <w:r>
        <w:rPr>
          <w:b/>
          <w:bCs/>
        </w:rPr>
      </w: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836"/>
        <w:jc w:val="center"/>
        <w:rPr>
          <w:b/>
          <w:bCs/>
          <w:highlight w:val="non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 оказании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медицинской помощи населению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города Урай</w:t>
      </w:r>
      <w:r>
        <w:rPr>
          <w:b/>
          <w:bCs/>
        </w:rPr>
      </w:r>
      <w:r>
        <w:rPr>
          <w:b/>
          <w:bCs/>
          <w:highlight w:val="none"/>
        </w:rPr>
      </w:r>
    </w:p>
    <w:p>
      <w:pPr>
        <w:pStyle w:val="836"/>
        <w:jc w:val="center"/>
        <w:rPr>
          <w:b/>
          <w:bCs/>
        </w:rPr>
      </w:pPr>
      <w:r>
        <w:rPr>
          <w:b/>
          <w:highlight w:val="none"/>
        </w:rPr>
      </w:r>
      <w:r>
        <w:rPr>
          <w:b/>
          <w:highlight w:val="none"/>
        </w:rPr>
      </w:r>
      <w:r>
        <w:rPr>
          <w:b/>
          <w:bCs/>
        </w:rPr>
      </w:r>
    </w:p>
    <w:p>
      <w:pPr>
        <w:pStyle w:val="836"/>
        <w:jc w:val="right"/>
        <w:rPr>
          <w:i/>
        </w:rPr>
      </w:pPr>
      <w:r>
        <w:rPr>
          <w:i/>
        </w:rPr>
        <w:t xml:space="preserve">Докладчик: Кащеева Ульяна Викторовна, </w:t>
      </w:r>
      <w:r>
        <w:rPr>
          <w:i/>
        </w:rPr>
      </w:r>
      <w:r>
        <w:rPr>
          <w:i/>
        </w:rPr>
      </w:r>
    </w:p>
    <w:p>
      <w:pPr>
        <w:pStyle w:val="836"/>
        <w:jc w:val="right"/>
        <w:rPr>
          <w:i/>
        </w:rPr>
      </w:pPr>
      <w:r>
        <w:rPr>
          <w:i/>
        </w:rPr>
        <w:t xml:space="preserve">начальник управления по культуре и социальным </w:t>
      </w:r>
      <w:r>
        <w:rPr>
          <w:i/>
        </w:rPr>
      </w:r>
      <w:r>
        <w:rPr>
          <w:i/>
        </w:rPr>
      </w:r>
    </w:p>
    <w:p>
      <w:pPr>
        <w:pStyle w:val="836"/>
        <w:jc w:val="right"/>
        <w:rPr>
          <w:i/>
        </w:rPr>
      </w:pPr>
      <w:r>
        <w:rPr>
          <w:i/>
        </w:rPr>
        <w:t xml:space="preserve">вопросам администрации города Урай</w:t>
      </w:r>
      <w:r>
        <w:rPr>
          <w:i/>
        </w:rPr>
      </w:r>
      <w:r>
        <w:rPr>
          <w:i/>
        </w:rPr>
      </w:r>
    </w:p>
    <w:p>
      <w:pPr>
        <w:pStyle w:val="83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</w:r>
    </w:p>
    <w:p>
      <w:pPr>
        <w:pStyle w:val="837"/>
        <w:ind w:left="0"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В  соответствии с пунктом 14 части 1 статьи 16 в полномочиях администрации города Урай состоит с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оздание условий для оказания медицинской помощи населению на территории городского округа город Урай в соответствии с территориальной программой государственных гарантий бесплатного оказания гражданам медицинской помощи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</w:p>
    <w:p>
      <w:pPr>
        <w:pStyle w:val="837"/>
        <w:ind w:left="0"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Для этого созданы нижеприведенные условия:</w:t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</w:p>
    <w:p>
      <w:pPr>
        <w:pStyle w:val="837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I. Обеспечена транспортная доступность медицинских организаций государственной системы здравоохранения и организация благоустройства территорий, прилегающих к данным медицинским организациям, в границах муниципального образования. В районе каждого объекта м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едицинской  инфраструктуры имеется автомобильная стоянка для посетителей, в том числе для маломобильных групп.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pStyle w:val="837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pStyle w:val="837"/>
        <w:ind w:left="0" w:right="0" w:firstLine="709"/>
        <w:jc w:val="both"/>
        <w:rPr>
          <w:rFonts w:ascii="Times New Roman" w:hAnsi="Times New Roman" w:eastAsia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II. В части организации  обеспечения медицинских организаций государственной системы здравоохранения, находящихся на территории муниципального образования, коммунальными услугами, в том числе путем создания и развития инженерной и коммунальной инфраструктур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ы: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837"/>
        <w:ind w:left="0" w:right="0" w:firstLine="709"/>
        <w:jc w:val="both"/>
        <w:rPr>
          <w:rFonts w:ascii="Times New Roman" w:hAnsi="Times New Roman" w:eastAsia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медицинские организации, находящиеся на территории муниципального образования городской округ город Урай обеспечены коммунальными услугами (водоснабжение и водоотведение, теплоснабжение и электроснабжение).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837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pStyle w:val="837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III. В части оказания содействия в размещении медицинских организаций, участие в строительстве, реконструкции и капитальном ремонте объектов, предназначенных для медицинских организаций государственной системы здравоохранения: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837"/>
        <w:ind w:left="0" w:right="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Заключен договор о предоставлении муниципального имущества в безвозмездное пользование от 28.04.2021 №8  с автономным учреждением ХМАО – Югры «Урайская городская стоматологическая поликлиника».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7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Муниципальное имущество, предоставленное в безвозмездное пользо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вание: часть нежилого помещения площадью 221,3 кв.м в составе объекта: нежилое помещение общей площадью 701,6 кв.м, кадастровый номер: 86:14:0101009:2699, расположенное на 1 этаже 5-этажного жилого дома по адресу: г.Урай, микрорайон Западный, дом 16. Срок 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ействия договора с 01.05.2021 по 30.04.2026.</w:t>
      </w: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pStyle w:val="837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 гаража (мкр.1А, р-он ж/д № 84 и Сибирская, дом 2) переданы МКУ «УМТО г.Урай» в безвозмездное пользование АУ ХМАО-Югры «Урайская городская стоматологическая поликлиника»: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837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 гараж (гараж № 3 ул. Сибирская, дом 2А) передан МКУ «УМТО г.Урай» в безвозмездное пользование Управлению Федеральной службы по надзору в сфере защиты прав потребителей и благополучия человека по ХМАО-Югре;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837"/>
        <w:ind w:left="0" w:right="0" w:firstLine="709"/>
        <w:jc w:val="both"/>
        <w:rPr>
          <w:rFonts w:ascii="Times New Roman" w:hAnsi="Times New Roman" w:eastAsia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 гараж (гараж № 5 ул.Сибирская, дом 2А) передан МКУ «УМТО г.Урай» в безвозмездное пользование Федеральному бюджетному учреждению здравоохранения «Центр гигиены и эпидемиологии в ХМАО-Югре».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837"/>
        <w:ind w:firstLine="769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ascii="Times New Roman" w:hAnsi="Times New Roman" w:eastAsia="Calibri"/>
          <w:bCs/>
          <w:sz w:val="24"/>
          <w:szCs w:val="24"/>
        </w:rPr>
        <w:t xml:space="preserve">Осуществляется п</w:t>
      </w:r>
      <w:r>
        <w:rPr>
          <w:rFonts w:ascii="Times New Roman" w:hAnsi="Times New Roman" w:eastAsia="Calibri"/>
          <w:bCs/>
          <w:sz w:val="24"/>
          <w:szCs w:val="24"/>
        </w:rPr>
        <w:t xml:space="preserve">остоянный контроль со стороны депутатского корпуса, общественности, руководства городской больницы и администрации</w:t>
      </w:r>
      <w:r>
        <w:rPr>
          <w:rFonts w:ascii="Times New Roman" w:hAnsi="Times New Roman" w:eastAsia="Calibri"/>
          <w:bCs/>
          <w:sz w:val="24"/>
          <w:szCs w:val="24"/>
        </w:rPr>
        <w:t xml:space="preserve"> города за строительством стационара УГКБ. </w:t>
      </w:r>
      <w:r>
        <w:rPr>
          <w:rFonts w:ascii="Times New Roman" w:hAnsi="Times New Roman" w:eastAsia="Calibri"/>
          <w:bCs/>
          <w:sz w:val="24"/>
          <w:szCs w:val="24"/>
        </w:rPr>
      </w:r>
      <w:r>
        <w:rPr>
          <w:rFonts w:ascii="Times New Roman" w:hAnsi="Times New Roman" w:eastAsia="Calibri"/>
          <w:bCs/>
          <w:sz w:val="24"/>
          <w:szCs w:val="24"/>
        </w:rPr>
      </w:r>
    </w:p>
    <w:p>
      <w:pPr>
        <w:pStyle w:val="837"/>
        <w:ind w:left="0" w:right="0" w:firstLine="709"/>
        <w:jc w:val="both"/>
        <w:rPr>
          <w:rFonts w:ascii="Times New Roman" w:hAnsi="Times New Roman" w:eastAsia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pStyle w:val="837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pStyle w:val="837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837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IV. Полномочия органов местного самоуправления по обеспечению служебным жильем медицинских работников первичного звена здравоохранения и скорой медицинской помощи отсутствуют в связи с тем, что специализированные служебные жилые помещения из муниципального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жилого фонда предоставляются только работникам муниципальных учреждений.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837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Обеспечение медицинских работников, в том числе первичного звена и скорой медицинской помощи, жилыми помещениями осуществляется в рамках Порядка управления и распоряжения муниципальным жилищным фондом коммерческого использования города Урай, утвержденного 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ешением Думы города Урай №54 от 29.05.2008 на основании договоров коммерческого найма.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837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За 2023 год было предоставлено 5 муниципальных жилых помещений коммерческого использования общей площадью 315 кв.м. специалистам бюджетного учреждения Ханты-Мансийского автономного округа - Югры «Урайская городская клиническая больница» (2 жилых помещения),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бюджетного учреждения Ханты-Мансийского автономного округа - Югры «Урайская окружная больница медицинской реабилитации» (3 жилых помещения) 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837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2023 году было предоставлено 9 муниципальных жилых помещений коммерческого использования общей площадью 440,8  кв.м.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837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7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837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V. Информирование населения о возможности распространения на территории муниципального образования социально-значимых заболеваний и заболеваний, представляющих опасность для окружающих» об угрозе возникновения и возникновении эпидемий: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837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при администрации города Урай  созданы  муниципальный оперативный штаб по предупреждению завоза и распространения коронавирусной инфекции на территории города Урай, межведомственная санитарно-противоэпидемическая комиссия, межведомственная комиссия по профи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лактике и борьбе с социально-значимыми заболеваниями при администрации города Урай,  Антинаркотическая комиссия муниципального образования город Урай. В состав вышеуказанных коллегиальных органов входят представители органов местного самоуправления, государс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твенных и федеральных учреждений в сферах здравоохранения и социальной защиты населения, представители общественности.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837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 целью профилактики инфекционных и паразитарных заболеваний на территории муниципального образования город Урай разработаны и утверждены следующие постановления и комплексные планы: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837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Муниципальная программа «Развитие физической культуры, спорта и туризма в городе Урай и укрепление здоровья граждан города Урай» на 2019 - 2030 годы, утвержденная  постановлением администрации города Урай 25.09.2018 №2470;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837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Комплексный план мероприятий по санитарной охране территории городского округа Урай от завоза и распространения особо опасных инфекций на 2022-2027 годы;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837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Комплексный план мероприятий противохолерных мероприятий на территории городского округа Урай на 2022-2026 годы;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837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Комплексный план мероприятий по профилактике гриппа на территории муниципального образования город Урай на период 2023-2027 годы.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837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837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На официальном сайте органов местного самоуправления города Урай размещены: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837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социально значимых заболеваний и перечень заболеваний, представляющих опасность для окружающих;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837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меры профилактики ВИЧ-инфекции;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837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ситуация по коронавирусной инфекции;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837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ситуация по клещевому энцефалиту;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837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ситуация по гриппу и ОРВИ;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837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видеоролики с социальной рекламой на антинаркотическую тематику и пропаганду здорового образа жизни.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837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837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V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I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Относительно проводимых мероприятий по профилактике заболеваний и формированию здорового образа жизни: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837"/>
        <w:ind w:left="0" w:right="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eastAsia="Calibri"/>
          <w:bCs/>
          <w:sz w:val="24"/>
          <w:szCs w:val="24"/>
        </w:rPr>
        <w:t xml:space="preserve">м</w:t>
      </w:r>
      <w:r>
        <w:rPr>
          <w:rFonts w:ascii="Times New Roman" w:hAnsi="Times New Roman" w:eastAsia="Calibri"/>
          <w:bCs/>
          <w:sz w:val="24"/>
          <w:szCs w:val="24"/>
        </w:rPr>
        <w:t xml:space="preserve">униципальной программы «Развитие </w:t>
      </w:r>
      <w:r>
        <w:rPr>
          <w:rFonts w:ascii="Times New Roman" w:hAnsi="Times New Roman" w:eastAsia="Calibri"/>
          <w:bCs/>
          <w:sz w:val="24"/>
          <w:szCs w:val="24"/>
        </w:rPr>
        <w:t xml:space="preserve">физической</w:t>
      </w:r>
      <w:r>
        <w:rPr>
          <w:rFonts w:ascii="Times New Roman" w:hAnsi="Times New Roman" w:eastAsia="Calibri"/>
          <w:bCs/>
          <w:sz w:val="24"/>
          <w:szCs w:val="24"/>
        </w:rPr>
        <w:t xml:space="preserve"> культуры, спорта и туризма в городе Урай и укрепление здоровья граждан го</w:t>
      </w:r>
      <w:r>
        <w:rPr>
          <w:rFonts w:ascii="Times New Roman" w:hAnsi="Times New Roman" w:eastAsia="Calibri"/>
          <w:bCs/>
          <w:sz w:val="24"/>
          <w:szCs w:val="24"/>
        </w:rPr>
        <w:t xml:space="preserve">рода Урай» на 2019 - 2030 годы (</w:t>
      </w:r>
      <w:r>
        <w:rPr>
          <w:rFonts w:ascii="Times New Roman" w:hAnsi="Times New Roman" w:eastAsia="Calibri"/>
          <w:bCs/>
          <w:sz w:val="24"/>
          <w:szCs w:val="24"/>
        </w:rPr>
        <w:t xml:space="preserve">постановление администрац</w:t>
      </w:r>
      <w:r>
        <w:rPr>
          <w:rFonts w:ascii="Times New Roman" w:hAnsi="Times New Roman" w:eastAsia="Calibri"/>
          <w:bCs/>
          <w:sz w:val="24"/>
          <w:szCs w:val="24"/>
        </w:rPr>
        <w:t xml:space="preserve">ии города Урай 25.09.2018 №2470)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 целью повышения значимости здорового образа жизни (ЗОЖ) муниципальными образовательными организациями,  учреждениями культуры и молодежной политики, физической культуры и спорта регулярно проводятся мероприятия, направленные на формирование у населения осо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знанной потребности в сохранении и укреплении здоровья.</w:t>
      </w:r>
      <w:r>
        <w:rPr>
          <w:rFonts w:ascii="Times New Roman" w:hAnsi="Times New Roman" w:eastAsia="Times New Roman" w:cs="Times New Roman"/>
          <w:sz w:val="24"/>
          <w:szCs w:val="24"/>
        </w:rPr>
      </w:r>
      <w:r/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837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 реализации деятельности по профилактике социально-значимых заболеваний  и развитию ЗОЖ используются  различные активные формы: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837"/>
        <w:ind w:left="0" w:right="0" w:firstLine="709"/>
        <w:jc w:val="both"/>
        <w:rPr>
          <w:rFonts w:ascii="Times New Roman" w:hAnsi="Times New Roman" w:eastAsia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акции, викторины: «Не дай наркотикам испортить твою жизнь», молодежная онлайн - акция «Умей сказать «НЕТ!», «Легкое дыхание», посвященная Всемирному Дню отказа от курения.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1_2253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none"/>
        </w:rPr>
        <w:t xml:space="preserve">До начала эпидемического сезона состоялись </w:t>
      </w:r>
      <w:r>
        <w:rPr>
          <w:rFonts w:ascii="Times New Roman" w:hAnsi="Times New Roman"/>
          <w:sz w:val="24"/>
          <w:szCs w:val="24"/>
        </w:rPr>
        <w:t xml:space="preserve">общешкольные родительские собрания с участием врачей-педиатров бюджетного учреждения Ханты-Мансийского автономного округа - Югры «</w:t>
      </w:r>
      <w:r>
        <w:rPr>
          <w:rFonts w:ascii="Times New Roman" w:hAnsi="Times New Roman"/>
          <w:sz w:val="24"/>
          <w:szCs w:val="24"/>
        </w:rPr>
        <w:t xml:space="preserve">Урайская</w:t>
      </w:r>
      <w:r>
        <w:rPr>
          <w:rFonts w:ascii="Times New Roman" w:hAnsi="Times New Roman"/>
          <w:sz w:val="24"/>
          <w:szCs w:val="24"/>
        </w:rPr>
        <w:t xml:space="preserve"> городская клиническая </w:t>
      </w:r>
      <w:r>
        <w:rPr>
          <w:rFonts w:ascii="Times New Roman" w:hAnsi="Times New Roman"/>
          <w:sz w:val="24"/>
          <w:szCs w:val="24"/>
        </w:rPr>
        <w:t xml:space="preserve">больница» с целью разъяснения о </w:t>
      </w:r>
      <w:r>
        <w:rPr>
          <w:rFonts w:ascii="Times New Roman" w:hAnsi="Times New Roman"/>
          <w:sz w:val="24"/>
          <w:szCs w:val="24"/>
        </w:rPr>
        <w:t xml:space="preserve">необходимости и эффективности противогриппозной иммунизации.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37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pStyle w:val="837"/>
        <w:ind w:left="0" w:right="0" w:firstLine="709"/>
        <w:jc w:val="both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</w:rPr>
        <w:t xml:space="preserve">За отчетный период организованы 7  культурно-досуговых мероприятий для несовершеннолетних, направленных на формирование здорового образа ж</w:t>
      </w:r>
      <w:r>
        <w:rPr>
          <w:rFonts w:ascii="Times New Roman" w:hAnsi="Times New Roman"/>
          <w:sz w:val="24"/>
          <w:szCs w:val="24"/>
        </w:rPr>
        <w:t xml:space="preserve">изни, с общим количеством участников 326 человек (Проект «Жизнь или наркотики? Выбор очевиден», беседа-предупреждение «Вирус сквернословия», интерактивная площадка «Я выбираю жизнь!», проект «ЖИВИНКА - вдохновение жить», «ЗОЖ – квартирник»). </w:t>
      </w:r>
      <w:r/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</w:rPr>
        <w:t xml:space="preserve">Также урайцы </w:t>
      </w:r>
      <w:r>
        <w:rPr>
          <w:rFonts w:ascii="Times New Roman" w:hAnsi="Times New Roman"/>
          <w:sz w:val="24"/>
          <w:szCs w:val="24"/>
        </w:rPr>
        <w:t xml:space="preserve">приняли</w:t>
      </w:r>
      <w:r>
        <w:rPr>
          <w:rFonts w:ascii="Times New Roman" w:hAnsi="Times New Roman"/>
          <w:sz w:val="24"/>
          <w:szCs w:val="24"/>
        </w:rPr>
        <w:t xml:space="preserve"> участие во </w:t>
      </w:r>
      <w:r>
        <w:rPr>
          <w:rFonts w:ascii="Times New Roman" w:hAnsi="Times New Roman"/>
          <w:sz w:val="24"/>
          <w:szCs w:val="24"/>
        </w:rPr>
        <w:t xml:space="preserve">Всероссийской</w:t>
      </w:r>
      <w:r>
        <w:rPr>
          <w:rFonts w:ascii="Times New Roman" w:hAnsi="Times New Roman"/>
          <w:sz w:val="24"/>
          <w:szCs w:val="24"/>
        </w:rPr>
        <w:t xml:space="preserve"> акции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10 000 шагов к жизни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. Общее количество участников 96 человек. </w:t>
      </w:r>
      <w:r/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  <w:highlight w:val="none"/>
        </w:rPr>
      </w:r>
    </w:p>
    <w:p>
      <w:pPr>
        <w:pStyle w:val="837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</w:p>
    <w:p>
      <w:pPr>
        <w:pStyle w:val="837"/>
        <w:ind w:left="0" w:right="0" w:firstLine="709"/>
        <w:jc w:val="both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</w:rPr>
        <w:t xml:space="preserve">В целях сохранения и укрепления здоровья обучающихся на базе всех </w:t>
      </w:r>
      <w:r>
        <w:rPr>
          <w:rFonts w:ascii="Times New Roman" w:hAnsi="Times New Roman"/>
          <w:sz w:val="24"/>
          <w:szCs w:val="24"/>
        </w:rPr>
        <w:t xml:space="preserve">образовательных организаций </w:t>
      </w:r>
      <w:r>
        <w:rPr>
          <w:rFonts w:ascii="Times New Roman" w:hAnsi="Times New Roman"/>
          <w:sz w:val="24"/>
          <w:szCs w:val="24"/>
        </w:rPr>
        <w:t xml:space="preserve">функционируют спортивные клубы.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Проведен ряд мероприятий  по внедрению Всероссийского физкультурно-спортивного комплекса «Готов к труду и</w:t>
      </w:r>
      <w:r>
        <w:rPr>
          <w:rFonts w:ascii="Times New Roman" w:hAnsi="Times New Roman"/>
          <w:sz w:val="24"/>
          <w:szCs w:val="24"/>
        </w:rPr>
        <w:t xml:space="preserve"> обороне» в образовательных организациях. Также во всех образовательных организациях проведены мероприятия,  направленные на пропаганду здорового образа жизни: Месячник оборонно-массовых мероприятий;  Турнир по волейболу «Король площадки»,  День здоровья. </w:t>
      </w:r>
      <w:r>
        <w:rPr>
          <w:rFonts w:ascii="Times New Roman" w:hAnsi="Times New Roman"/>
          <w:sz w:val="24"/>
          <w:szCs w:val="24"/>
        </w:rPr>
        <w:t xml:space="preserve">Реализуются мероприятия по раннему выявлению детей и подростков, потребляющих алкоголь и оказанию им необходимой псих</w:t>
      </w:r>
      <w:r>
        <w:rPr>
          <w:rFonts w:ascii="Times New Roman" w:hAnsi="Times New Roman"/>
          <w:sz w:val="24"/>
          <w:szCs w:val="24"/>
        </w:rPr>
        <w:t xml:space="preserve">ологической и социальной помощи: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текущем учебном году проходило (с 15.09.2023 по 15.10.2023) </w:t>
      </w:r>
      <w:r>
        <w:rPr>
          <w:rFonts w:ascii="Times New Roman" w:hAnsi="Times New Roman"/>
          <w:sz w:val="24"/>
          <w:szCs w:val="24"/>
        </w:rPr>
        <w:t xml:space="preserve">социально – психологическое тестирование, по результатам которого определяются несовершеннолетние, входящие в «группу риска» по критериям возможного вовлечения и потребление ПАВ. </w:t>
      </w:r>
      <w:r>
        <w:rPr>
          <w:rFonts w:ascii="Times New Roman" w:hAnsi="Times New Roman"/>
          <w:sz w:val="24"/>
          <w:szCs w:val="24"/>
        </w:rPr>
      </w:r>
    </w:p>
    <w:p>
      <w:pPr>
        <w:pStyle w:val="837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Дня трезвости в образовательных организациях прошли классные часы.  </w:t>
      </w:r>
      <w:r>
        <w:rPr>
          <w:rFonts w:ascii="Times New Roman" w:hAnsi="Times New Roman"/>
          <w:sz w:val="24"/>
          <w:szCs w:val="24"/>
        </w:rPr>
      </w:r>
      <w:r/>
      <w:r>
        <w:rPr>
          <w:rFonts w:ascii="Times New Roman" w:hAnsi="Times New Roman"/>
          <w:sz w:val="24"/>
          <w:szCs w:val="24"/>
        </w:rPr>
        <w:t xml:space="preserve">Учащиеся, преподаватели и администрация школ и собрались вместе, чтобы обсудить значимость трезвого образа жизни и последствия, которые могут возникнуть из-за злоупотребления алкоголем. </w:t>
      </w:r>
      <w:r/>
      <w:r/>
      <w:r>
        <w:rPr>
          <w:rFonts w:ascii="Times New Roman" w:hAnsi="Times New Roman"/>
          <w:sz w:val="24"/>
          <w:szCs w:val="24"/>
        </w:rPr>
      </w:r>
    </w:p>
    <w:p>
      <w:pPr>
        <w:pStyle w:val="1_2253"/>
        <w:ind w:left="0" w:righ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</w:t>
      </w:r>
      <w:r>
        <w:rPr>
          <w:rFonts w:ascii="Times New Roman" w:hAnsi="Times New Roman"/>
          <w:sz w:val="24"/>
          <w:szCs w:val="24"/>
        </w:rPr>
        <w:t xml:space="preserve">кже в образовательных организациях во взаимодействии с сотрудниками ГИБДД организованы классные часы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вопросам </w:t>
      </w:r>
      <w:r>
        <w:rPr>
          <w:rFonts w:ascii="Times New Roman" w:hAnsi="Times New Roman"/>
          <w:sz w:val="24"/>
          <w:szCs w:val="24"/>
        </w:rPr>
        <w:t xml:space="preserve">профилактик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дорожно-транспортного травматизма.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1_2253"/>
        <w:ind w:left="0" w:right="0" w:firstLine="709"/>
        <w:jc w:val="left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</w:rPr>
        <w:t xml:space="preserve">Охват  составляет 7 306 человек.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1_2253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</w:p>
    <w:p>
      <w:pPr>
        <w:pStyle w:val="1_2253"/>
        <w:ind w:left="0" w:right="0" w:firstLine="709"/>
        <w:jc w:val="both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</w:rPr>
        <w:t xml:space="preserve">В учреждениях спорта организованы и проведены следующие мероприятия: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Спартакиада «Ветераны всегда в строю» (</w:t>
      </w:r>
      <w:r>
        <w:rPr>
          <w:rFonts w:ascii="Times New Roman" w:hAnsi="Times New Roman"/>
          <w:sz w:val="24"/>
          <w:szCs w:val="24"/>
        </w:rPr>
        <w:t xml:space="preserve">быстрая </w:t>
      </w:r>
      <w:r>
        <w:rPr>
          <w:rFonts w:ascii="Times New Roman" w:hAnsi="Times New Roman"/>
          <w:sz w:val="24"/>
          <w:szCs w:val="24"/>
        </w:rPr>
        <w:t xml:space="preserve"> ходьба); День физкультурника; Всероссийский день бега «Кросс нации-2023». </w:t>
      </w:r>
      <w:r>
        <w:rPr>
          <w:rFonts w:ascii="Times New Roman" w:hAnsi="Times New Roman"/>
          <w:sz w:val="24"/>
          <w:szCs w:val="24"/>
        </w:rPr>
        <w:t xml:space="preserve">Охват детей за отчетный период составляет  1 089  человек.</w:t>
      </w: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37"/>
        <w:ind w:left="0" w:right="0" w:firstLine="709"/>
        <w:jc w:val="both"/>
        <w:rPr>
          <w:rFonts w:ascii="Times New Roman" w:hAnsi="Times New Roman" w:eastAsia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pStyle w:val="837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837"/>
        <w:ind w:left="0" w:right="0" w:firstLine="709"/>
        <w:jc w:val="both"/>
        <w:rPr>
          <w:rFonts w:ascii="Times New Roman" w:hAnsi="Times New Roman" w:eastAsia="Times New Roman" w:cs="Times New Roman"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VI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I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Во исполнение совместного приказа Управления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Федеральной службы по надзору в сфере зашиты прав потребителей и благополучия человека по Ханты-Мансийскому автономному округу - Югре и Департамента здравоохранения по Ханты-Мансийскому автономному округу - Югре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«Об установлении сроков и кратности проведения мероприятий по дезинсекции и дератизации в Ханты-Мансийском автономном округе - Югре в 2023 году»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16.02.2023 № 241/22 заключён договор  от 20.03.2023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№ 80/23</w:t>
      </w:r>
      <w:r/>
      <w:r>
        <w:rPr>
          <w:rFonts w:ascii="Times New Roman" w:hAnsi="Times New Roman" w:eastAsia="Times New Roman" w:cs="Times New Roman"/>
          <w:sz w:val="24"/>
          <w:szCs w:val="24"/>
        </w:rPr>
        <w:t xml:space="preserve"> с ИП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Конев В.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iCs/>
          <w:sz w:val="24"/>
          <w:szCs w:val="24"/>
        </w:rPr>
      </w:r>
    </w:p>
    <w:p>
      <w:pPr>
        <w:pStyle w:val="837"/>
        <w:ind w:left="0" w:right="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соответствии с заключённым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договором работы на оказание услуги по барьерной дератизации, проведению противоэпидемических мероприятий по снижению численности иксодовых клещей и кровососущих комаров проведены 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три этапа.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7"/>
        <w:ind w:left="0" w:right="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yellow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Во исполнение совместного приказа Управления Федеральной службы по надзору в сфере заш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иты прав потребителей и благополучия человека по Ханты-Мансийскому автономному округу – Югре и Департамента здравоохранения по Ханты-Мансийскому автономному округу – Югре «Об установлении сроков и кратности проведения мероприятий по дезинсекции и дератизац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ии в Ханты-Мансийском автономном округе - Югре в 2023 году» от 16.02.2023 № 241/22 заключён договор  от 20.03.2023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№ 85/23</w:t>
      </w:r>
      <w:r/>
      <w:r>
        <w:rPr>
          <w:rFonts w:ascii="Times New Roman" w:hAnsi="Times New Roman" w:eastAsia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Федеральным бюджетным учреждением здравоохранения «Центр гигиены и эпидемиологии в Ханты-Мансийском автономном округе – Югре» (далее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– филиал Федерального бюджетного учреждения здравоохранения «Центр гигиены и эпидемиологии в Ханты-Мансийском автономном округе - Югре в Советском районе и в городе Югорске, в городе Урае и Кондинском районе») по контролю эффективности акарицидной обработ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ки (проверка качества проведения акарицидной обработки направленной на снижение численности иксодовых клещей), контролю эффективности дезинсекционной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(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ларвицидной) обработки (проверка качества на снижение численности личинок кровососущих комаров в эндогенн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ых водоемах) и контроля эффективности барьерной дератизации (проверка качества по контролю эффективности стандартных учетов численности мелких млекопитающих).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7"/>
        <w:ind w:left="0" w:right="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соответствии с договором контроль эффективности проводился на территории 8,25 га в три этапа, 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арвицидная обработка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проводится на территории 1,88 га в два этапа, барьерная дератизация проводится на территории 8,86 га в два этапа.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7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 итогам контроля эффективности акарицидной, ларвицидной обработок и барьерной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дератизации, согласно полученным актам обследованная, территория соответствует санитарно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-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эпидемиологическим требованиям, установленным в государственных санитарно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-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эпидемиологических правилах и нормативах, технических регламентов: СанПин 3.3686-21 «Санитарно-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эпидемиологические требования по профилактике инфекционных болезней».</w:t>
      </w:r>
      <w:r/>
      <w:r/>
    </w:p>
    <w:p>
      <w:pPr>
        <w:pStyle w:val="837"/>
        <w:ind w:left="0" w:right="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pStyle w:val="837"/>
        <w:ind w:left="0" w:right="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pStyle w:val="837"/>
        <w:ind w:left="0" w:right="0" w:firstLine="709"/>
        <w:jc w:val="both"/>
        <w:rPr>
          <w:rFonts w:ascii="Times New Roman" w:hAnsi="Times New Roman" w:eastAsia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pStyle w:val="8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по культуре и </w:t>
      </w:r>
      <w:r>
        <w:rPr>
          <w:rFonts w:ascii="Times New Roman" w:hAnsi="Times New Roman"/>
          <w:sz w:val="24"/>
          <w:szCs w:val="24"/>
        </w:rPr>
        <w:t xml:space="preserve">социальным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вопросам администрации города Урай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У.В. Кащеева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СОВАНО: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33"/>
        <w:jc w:val="both"/>
      </w:pPr>
      <w:r>
        <w:rPr>
          <w:rFonts w:ascii="Times New Roman" w:hAnsi="Times New Roman"/>
          <w:sz w:val="24"/>
          <w:szCs w:val="24"/>
        </w:rPr>
        <w:t xml:space="preserve">Заместитель главы города Урай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Е.Н. Подбуцкая</w:t>
      </w:r>
      <w:r/>
      <w:r/>
    </w:p>
    <w:p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</w:r>
      <w:r>
        <w:rPr>
          <w:rFonts w:ascii="Times New Roman" w:hAnsi="Times New Roman" w:cs="Times New Roman"/>
          <w:i/>
          <w:sz w:val="24"/>
          <w:szCs w:val="24"/>
        </w:rPr>
      </w:r>
      <w:r>
        <w:rPr>
          <w:rFonts w:ascii="Times New Roman" w:hAnsi="Times New Roman" w:cs="Times New Roman"/>
          <w:i/>
          <w:sz w:val="24"/>
          <w:szCs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6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0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>
    <w:name w:val="No Spacing"/>
    <w:basedOn w:val="830"/>
    <w:uiPriority w:val="1"/>
    <w:qFormat/>
    <w:pPr>
      <w:spacing w:after="0" w:line="240" w:lineRule="auto"/>
    </w:pPr>
  </w:style>
  <w:style w:type="paragraph" w:styleId="834">
    <w:name w:val="List Paragraph"/>
    <w:basedOn w:val="830"/>
    <w:uiPriority w:val="34"/>
    <w:qFormat/>
    <w:pPr>
      <w:contextualSpacing/>
      <w:ind w:left="720"/>
    </w:pPr>
  </w:style>
  <w:style w:type="character" w:styleId="835" w:default="1">
    <w:name w:val="Default Paragraph Font"/>
    <w:uiPriority w:val="1"/>
    <w:semiHidden/>
    <w:unhideWhenUsed/>
  </w:style>
  <w:style w:type="paragraph" w:styleId="836" w:customStyle="1">
    <w:name w:val="Defaul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Calibri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paragraph" w:styleId="837" w:customStyle="1">
    <w:name w:val="Без интервала1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paragraph" w:styleId="1_2253" w:customStyle="1">
    <w:name w:val="Без интервала"/>
    <w:next w:val="891"/>
    <w:link w:val="901"/>
    <w:uiPriority w:val="1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zh-CN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2023-12-07T12:46:51Z</dcterms:modified>
</cp:coreProperties>
</file>