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BB" w:rsidRPr="004B47A0" w:rsidRDefault="002A15BB" w:rsidP="002A15BB">
      <w:r w:rsidRPr="004B47A0">
        <w:rPr>
          <w:noProof/>
        </w:rPr>
        <w:drawing>
          <wp:anchor distT="0" distB="0" distL="114300" distR="114300" simplePos="0" relativeHeight="251660288" behindDoc="0" locked="0" layoutInCell="1" allowOverlap="1">
            <wp:simplePos x="0" y="0"/>
            <wp:positionH relativeFrom="column">
              <wp:posOffset>2636520</wp:posOffset>
            </wp:positionH>
            <wp:positionV relativeFrom="paragraph">
              <wp:posOffset>-5080</wp:posOffset>
            </wp:positionV>
            <wp:extent cx="609600" cy="790575"/>
            <wp:effectExtent l="19050" t="0" r="0" b="0"/>
            <wp:wrapNone/>
            <wp:docPr id="1"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2A15BB" w:rsidRPr="004B47A0" w:rsidRDefault="002A15BB" w:rsidP="002A15BB">
      <w:pPr>
        <w:pStyle w:val="a6"/>
      </w:pPr>
    </w:p>
    <w:p w:rsidR="002A15BB" w:rsidRPr="004B47A0" w:rsidRDefault="002A15BB" w:rsidP="002A15BB">
      <w:pPr>
        <w:pStyle w:val="1"/>
        <w:jc w:val="center"/>
        <w:rPr>
          <w:rFonts w:ascii="Times New Roman" w:hAnsi="Times New Roman" w:cs="Times New Roman"/>
          <w:sz w:val="24"/>
          <w:szCs w:val="24"/>
        </w:rPr>
      </w:pPr>
    </w:p>
    <w:p w:rsidR="002A15BB" w:rsidRPr="004B47A0" w:rsidRDefault="002A15BB" w:rsidP="002A15BB">
      <w:pPr>
        <w:pStyle w:val="1"/>
        <w:jc w:val="center"/>
        <w:rPr>
          <w:rFonts w:ascii="Times New Roman" w:hAnsi="Times New Roman" w:cs="Times New Roman"/>
          <w:sz w:val="24"/>
          <w:szCs w:val="24"/>
        </w:rPr>
      </w:pPr>
      <w:r w:rsidRPr="004B47A0">
        <w:rPr>
          <w:rFonts w:ascii="Times New Roman" w:hAnsi="Times New Roman" w:cs="Times New Roman"/>
          <w:sz w:val="24"/>
          <w:szCs w:val="24"/>
        </w:rPr>
        <w:t>ГОРОДСКОЙ ОКРУГ УРАЙ</w:t>
      </w:r>
    </w:p>
    <w:p w:rsidR="002A15BB" w:rsidRPr="00E33F13" w:rsidRDefault="002A15BB" w:rsidP="002A15BB">
      <w:pPr>
        <w:jc w:val="center"/>
        <w:rPr>
          <w:b/>
          <w:sz w:val="24"/>
          <w:szCs w:val="24"/>
        </w:rPr>
      </w:pPr>
      <w:r w:rsidRPr="00E33F13">
        <w:rPr>
          <w:b/>
          <w:sz w:val="24"/>
          <w:szCs w:val="24"/>
        </w:rPr>
        <w:t>Ханты-Мансийского автономного округа - Югры</w:t>
      </w:r>
    </w:p>
    <w:p w:rsidR="002A15BB" w:rsidRPr="004B47A0" w:rsidRDefault="002A15BB" w:rsidP="002A15BB">
      <w:pPr>
        <w:jc w:val="center"/>
        <w:rPr>
          <w:b/>
          <w:sz w:val="16"/>
          <w:szCs w:val="16"/>
        </w:rPr>
      </w:pPr>
    </w:p>
    <w:p w:rsidR="002A15BB" w:rsidRPr="004B47A0" w:rsidRDefault="002A15BB" w:rsidP="002A15BB">
      <w:pPr>
        <w:jc w:val="center"/>
        <w:rPr>
          <w:b/>
          <w:sz w:val="36"/>
          <w:szCs w:val="36"/>
        </w:rPr>
      </w:pPr>
      <w:r w:rsidRPr="004B47A0">
        <w:rPr>
          <w:b/>
          <w:sz w:val="36"/>
          <w:szCs w:val="36"/>
        </w:rPr>
        <w:t>АДМИНИСТРАЦИЯ ГОРОДА УРАЙ</w:t>
      </w:r>
    </w:p>
    <w:p w:rsidR="002A15BB" w:rsidRPr="004B47A0" w:rsidRDefault="002A15BB" w:rsidP="002A15BB">
      <w:pPr>
        <w:jc w:val="center"/>
        <w:rPr>
          <w:b/>
          <w:sz w:val="16"/>
          <w:szCs w:val="16"/>
        </w:rPr>
      </w:pPr>
    </w:p>
    <w:p w:rsidR="002A15BB" w:rsidRPr="004B47A0" w:rsidRDefault="002A15BB" w:rsidP="002A15BB">
      <w:pPr>
        <w:tabs>
          <w:tab w:val="left" w:pos="2760"/>
        </w:tabs>
        <w:jc w:val="center"/>
        <w:rPr>
          <w:b/>
          <w:sz w:val="32"/>
          <w:szCs w:val="32"/>
        </w:rPr>
      </w:pPr>
      <w:r w:rsidRPr="004B47A0">
        <w:rPr>
          <w:b/>
          <w:sz w:val="32"/>
          <w:szCs w:val="32"/>
        </w:rPr>
        <w:t>Комитет по финансам администрации города Урай</w:t>
      </w:r>
    </w:p>
    <w:p w:rsidR="002A15BB" w:rsidRPr="004B47A0" w:rsidRDefault="002A15BB" w:rsidP="002A15BB">
      <w:pPr>
        <w:tabs>
          <w:tab w:val="left" w:pos="2760"/>
        </w:tabs>
        <w:jc w:val="center"/>
        <w:rPr>
          <w:b/>
          <w:sz w:val="16"/>
          <w:szCs w:val="16"/>
        </w:rPr>
      </w:pPr>
    </w:p>
    <w:p w:rsidR="002A15BB" w:rsidRPr="004B47A0" w:rsidRDefault="002A15BB" w:rsidP="002A15BB">
      <w:pPr>
        <w:jc w:val="center"/>
        <w:rPr>
          <w:b/>
          <w:caps/>
          <w:sz w:val="36"/>
          <w:szCs w:val="36"/>
        </w:rPr>
      </w:pPr>
      <w:r w:rsidRPr="004B47A0">
        <w:rPr>
          <w:b/>
          <w:caps/>
          <w:sz w:val="36"/>
          <w:szCs w:val="36"/>
        </w:rPr>
        <w:t>ПРИКАЗ</w:t>
      </w:r>
    </w:p>
    <w:p w:rsidR="002A15BB" w:rsidRPr="004B47A0" w:rsidRDefault="002A15BB" w:rsidP="002A15BB"/>
    <w:p w:rsidR="002A15BB" w:rsidRPr="004B47A0" w:rsidRDefault="002A15BB" w:rsidP="002A15BB"/>
    <w:p w:rsidR="002A15BB" w:rsidRPr="004B47A0" w:rsidRDefault="00491ADB" w:rsidP="002A15BB">
      <w:pPr>
        <w:rPr>
          <w:sz w:val="24"/>
          <w:szCs w:val="24"/>
        </w:rPr>
      </w:pPr>
      <w:r>
        <w:rPr>
          <w:sz w:val="24"/>
          <w:szCs w:val="24"/>
        </w:rPr>
        <w:t>от 28</w:t>
      </w:r>
      <w:r w:rsidR="00CB5439" w:rsidRPr="004B47A0">
        <w:rPr>
          <w:sz w:val="24"/>
          <w:szCs w:val="24"/>
        </w:rPr>
        <w:t>.12</w:t>
      </w:r>
      <w:r w:rsidR="002A15BB" w:rsidRPr="004B47A0">
        <w:rPr>
          <w:sz w:val="24"/>
          <w:szCs w:val="24"/>
        </w:rPr>
        <w:t xml:space="preserve">.2022                                                                                         </w:t>
      </w:r>
      <w:r>
        <w:rPr>
          <w:sz w:val="24"/>
          <w:szCs w:val="24"/>
        </w:rPr>
        <w:t xml:space="preserve">                         № 114</w:t>
      </w:r>
      <w:r w:rsidR="002A15BB" w:rsidRPr="004B47A0">
        <w:rPr>
          <w:sz w:val="24"/>
          <w:szCs w:val="24"/>
        </w:rPr>
        <w:t xml:space="preserve"> - од</w:t>
      </w:r>
    </w:p>
    <w:p w:rsidR="002A15BB" w:rsidRPr="004B47A0" w:rsidRDefault="002A15BB" w:rsidP="002A15BB">
      <w:pPr>
        <w:adjustRightInd w:val="0"/>
        <w:ind w:firstLine="540"/>
        <w:jc w:val="center"/>
      </w:pPr>
    </w:p>
    <w:p w:rsidR="00D84355" w:rsidRPr="004B47A0" w:rsidRDefault="00D84355" w:rsidP="00D84355">
      <w:pPr>
        <w:ind w:right="-567"/>
        <w:rPr>
          <w:sz w:val="24"/>
          <w:szCs w:val="24"/>
        </w:rPr>
      </w:pPr>
    </w:p>
    <w:p w:rsidR="009A4545" w:rsidRPr="004B47A0" w:rsidRDefault="009A4545" w:rsidP="00D84355">
      <w:pPr>
        <w:ind w:right="-567"/>
        <w:rPr>
          <w:sz w:val="24"/>
          <w:szCs w:val="24"/>
        </w:rPr>
      </w:pPr>
    </w:p>
    <w:p w:rsidR="00EC4A91" w:rsidRDefault="00D84355" w:rsidP="00B307C7">
      <w:pPr>
        <w:tabs>
          <w:tab w:val="left" w:pos="5529"/>
        </w:tabs>
        <w:ind w:right="3826"/>
        <w:rPr>
          <w:sz w:val="24"/>
          <w:szCs w:val="24"/>
        </w:rPr>
      </w:pPr>
      <w:r w:rsidRPr="004B47A0">
        <w:rPr>
          <w:sz w:val="24"/>
          <w:szCs w:val="24"/>
        </w:rPr>
        <w:t>О</w:t>
      </w:r>
      <w:r w:rsidR="002A15BB" w:rsidRPr="004B47A0">
        <w:rPr>
          <w:sz w:val="24"/>
          <w:szCs w:val="24"/>
        </w:rPr>
        <w:t>б утверждении методики прогнозирования поступлений</w:t>
      </w:r>
      <w:r w:rsidR="00946554" w:rsidRPr="004B47A0">
        <w:rPr>
          <w:sz w:val="24"/>
          <w:szCs w:val="24"/>
        </w:rPr>
        <w:t xml:space="preserve"> доходов </w:t>
      </w:r>
      <w:r w:rsidR="002A15BB" w:rsidRPr="004B47A0">
        <w:rPr>
          <w:sz w:val="24"/>
          <w:szCs w:val="24"/>
        </w:rPr>
        <w:t xml:space="preserve">в бюджет городского округа </w:t>
      </w:r>
      <w:r w:rsidR="00946554" w:rsidRPr="004B47A0">
        <w:rPr>
          <w:sz w:val="24"/>
          <w:szCs w:val="24"/>
        </w:rPr>
        <w:t>Урай</w:t>
      </w:r>
      <w:r w:rsidR="00794481">
        <w:rPr>
          <w:sz w:val="24"/>
          <w:szCs w:val="24"/>
        </w:rPr>
        <w:t xml:space="preserve"> Ханты-Мансийского автономного </w:t>
      </w:r>
      <w:proofErr w:type="spellStart"/>
      <w:r w:rsidR="00794481">
        <w:rPr>
          <w:sz w:val="24"/>
          <w:szCs w:val="24"/>
        </w:rPr>
        <w:t>округа-Югры</w:t>
      </w:r>
      <w:proofErr w:type="spellEnd"/>
      <w:r w:rsidR="00946554" w:rsidRPr="004B47A0">
        <w:rPr>
          <w:sz w:val="24"/>
          <w:szCs w:val="24"/>
        </w:rPr>
        <w:t xml:space="preserve">, </w:t>
      </w:r>
      <w:proofErr w:type="spellStart"/>
      <w:r w:rsidR="00946554" w:rsidRPr="004B47A0">
        <w:rPr>
          <w:sz w:val="24"/>
          <w:szCs w:val="24"/>
        </w:rPr>
        <w:t>администрируемых</w:t>
      </w:r>
      <w:proofErr w:type="spellEnd"/>
      <w:r w:rsidR="00946554" w:rsidRPr="004B47A0">
        <w:rPr>
          <w:sz w:val="24"/>
          <w:szCs w:val="24"/>
        </w:rPr>
        <w:t xml:space="preserve"> Комитетом по финансам  администрации города Урай</w:t>
      </w:r>
    </w:p>
    <w:p w:rsidR="00D84355" w:rsidRPr="004B47A0" w:rsidRDefault="00EC4A91" w:rsidP="00B307C7">
      <w:pPr>
        <w:tabs>
          <w:tab w:val="left" w:pos="5529"/>
        </w:tabs>
        <w:ind w:right="3826"/>
        <w:rPr>
          <w:sz w:val="24"/>
          <w:szCs w:val="24"/>
        </w:rPr>
      </w:pPr>
      <w:r>
        <w:rPr>
          <w:sz w:val="24"/>
          <w:szCs w:val="24"/>
        </w:rPr>
        <w:t>(в редакции от 03.04.2023 №24-од)</w:t>
      </w:r>
      <w:r w:rsidR="00946554" w:rsidRPr="004B47A0">
        <w:rPr>
          <w:sz w:val="24"/>
          <w:szCs w:val="24"/>
        </w:rPr>
        <w:t xml:space="preserve"> </w:t>
      </w:r>
    </w:p>
    <w:p w:rsidR="00D84355" w:rsidRPr="004B47A0" w:rsidRDefault="00D84355" w:rsidP="00D84355">
      <w:pPr>
        <w:tabs>
          <w:tab w:val="left" w:pos="3686"/>
        </w:tabs>
        <w:ind w:right="5669"/>
        <w:jc w:val="both"/>
        <w:rPr>
          <w:sz w:val="24"/>
          <w:szCs w:val="24"/>
        </w:rPr>
      </w:pPr>
    </w:p>
    <w:p w:rsidR="00D84355" w:rsidRPr="004B47A0" w:rsidRDefault="00D84355" w:rsidP="00D84355">
      <w:pPr>
        <w:adjustRightInd w:val="0"/>
        <w:ind w:firstLine="540"/>
        <w:jc w:val="both"/>
        <w:outlineLvl w:val="0"/>
        <w:rPr>
          <w:sz w:val="24"/>
          <w:szCs w:val="24"/>
        </w:rPr>
      </w:pPr>
      <w:r w:rsidRPr="004B47A0">
        <w:rPr>
          <w:sz w:val="24"/>
          <w:szCs w:val="24"/>
        </w:rPr>
        <w:tab/>
      </w:r>
    </w:p>
    <w:p w:rsidR="00D84355" w:rsidRPr="004B47A0" w:rsidRDefault="00D84355" w:rsidP="006E47B4">
      <w:pPr>
        <w:pStyle w:val="ConsPlusNormal"/>
        <w:ind w:firstLine="708"/>
        <w:jc w:val="both"/>
        <w:rPr>
          <w:rFonts w:ascii="Times New Roman" w:hAnsi="Times New Roman" w:cs="Times New Roman"/>
          <w:sz w:val="24"/>
          <w:szCs w:val="24"/>
        </w:rPr>
      </w:pPr>
      <w:r w:rsidRPr="004B47A0">
        <w:rPr>
          <w:rFonts w:ascii="Times New Roman" w:hAnsi="Times New Roman" w:cs="Times New Roman"/>
          <w:sz w:val="24"/>
          <w:szCs w:val="24"/>
        </w:rPr>
        <w:t xml:space="preserve">В </w:t>
      </w:r>
      <w:r w:rsidR="006E47B4" w:rsidRPr="004B47A0">
        <w:rPr>
          <w:rFonts w:ascii="Times New Roman" w:hAnsi="Times New Roman" w:cs="Times New Roman"/>
          <w:sz w:val="24"/>
          <w:szCs w:val="24"/>
        </w:rPr>
        <w:t>соответствии</w:t>
      </w:r>
      <w:r w:rsidR="00B307C7" w:rsidRPr="004B47A0">
        <w:rPr>
          <w:rFonts w:ascii="Times New Roman" w:hAnsi="Times New Roman" w:cs="Times New Roman"/>
          <w:sz w:val="24"/>
          <w:szCs w:val="24"/>
        </w:rPr>
        <w:t xml:space="preserve"> </w:t>
      </w:r>
      <w:r w:rsidRPr="004B47A0">
        <w:rPr>
          <w:rFonts w:ascii="Times New Roman" w:hAnsi="Times New Roman" w:cs="Times New Roman"/>
          <w:sz w:val="24"/>
          <w:szCs w:val="24"/>
        </w:rPr>
        <w:t>с</w:t>
      </w:r>
      <w:r w:rsidR="00B82760" w:rsidRPr="004B47A0">
        <w:rPr>
          <w:rFonts w:ascii="Times New Roman" w:hAnsi="Times New Roman" w:cs="Times New Roman"/>
          <w:sz w:val="24"/>
          <w:szCs w:val="24"/>
        </w:rPr>
        <w:t xml:space="preserve"> пунктом 1</w:t>
      </w:r>
      <w:r w:rsidR="00BA1E4F" w:rsidRPr="004B47A0">
        <w:rPr>
          <w:rFonts w:ascii="Times New Roman" w:hAnsi="Times New Roman" w:cs="Times New Roman"/>
          <w:sz w:val="24"/>
          <w:szCs w:val="24"/>
        </w:rPr>
        <w:t xml:space="preserve"> </w:t>
      </w:r>
      <w:r w:rsidRPr="004B47A0">
        <w:rPr>
          <w:rFonts w:ascii="Times New Roman" w:hAnsi="Times New Roman" w:cs="Times New Roman"/>
          <w:sz w:val="24"/>
          <w:szCs w:val="24"/>
        </w:rPr>
        <w:t>стать</w:t>
      </w:r>
      <w:r w:rsidR="00B82760" w:rsidRPr="004B47A0">
        <w:rPr>
          <w:rFonts w:ascii="Times New Roman" w:hAnsi="Times New Roman" w:cs="Times New Roman"/>
          <w:sz w:val="24"/>
          <w:szCs w:val="24"/>
        </w:rPr>
        <w:t>и</w:t>
      </w:r>
      <w:r w:rsidRPr="004B47A0">
        <w:rPr>
          <w:rFonts w:ascii="Times New Roman" w:hAnsi="Times New Roman" w:cs="Times New Roman"/>
          <w:sz w:val="24"/>
          <w:szCs w:val="24"/>
        </w:rPr>
        <w:t xml:space="preserve"> 160.1 Бюджетного кодекса Российской Федерации,  постановлением Правительства Российской Федерации от 23.06.2016 №</w:t>
      </w:r>
      <w:r w:rsidR="006E47B4" w:rsidRPr="004B47A0">
        <w:rPr>
          <w:rFonts w:ascii="Times New Roman" w:hAnsi="Times New Roman" w:cs="Times New Roman"/>
          <w:sz w:val="24"/>
          <w:szCs w:val="24"/>
        </w:rPr>
        <w:t>574 «</w:t>
      </w:r>
      <w:r w:rsidRPr="004B47A0">
        <w:rPr>
          <w:rFonts w:ascii="Times New Roman" w:hAnsi="Times New Roman" w:cs="Times New Roman"/>
          <w:sz w:val="24"/>
          <w:szCs w:val="24"/>
        </w:rPr>
        <w:t>Об общих требованиях к методике прогнозирования поступлений доходов в бюджеты бюджетной системы Российской Федерации»:</w:t>
      </w:r>
    </w:p>
    <w:p w:rsidR="00D84355" w:rsidRPr="004B47A0" w:rsidRDefault="00D84355" w:rsidP="006E47B4">
      <w:pPr>
        <w:pStyle w:val="ConsPlusNormal"/>
        <w:ind w:firstLine="708"/>
        <w:jc w:val="both"/>
        <w:rPr>
          <w:rFonts w:ascii="Times New Roman" w:hAnsi="Times New Roman" w:cs="Times New Roman"/>
          <w:sz w:val="24"/>
          <w:szCs w:val="24"/>
        </w:rPr>
      </w:pPr>
      <w:r w:rsidRPr="004B47A0">
        <w:rPr>
          <w:rFonts w:ascii="Times New Roman" w:hAnsi="Times New Roman" w:cs="Times New Roman"/>
          <w:sz w:val="24"/>
          <w:szCs w:val="24"/>
        </w:rPr>
        <w:t xml:space="preserve">1. </w:t>
      </w:r>
      <w:r w:rsidR="00946554" w:rsidRPr="004B47A0">
        <w:rPr>
          <w:rFonts w:ascii="Times New Roman" w:hAnsi="Times New Roman" w:cs="Times New Roman"/>
          <w:sz w:val="24"/>
          <w:szCs w:val="24"/>
        </w:rPr>
        <w:t>Утвердить</w:t>
      </w:r>
      <w:r w:rsidR="006E47B4" w:rsidRPr="004B47A0">
        <w:rPr>
          <w:rFonts w:ascii="Times New Roman" w:hAnsi="Times New Roman" w:cs="Times New Roman"/>
          <w:sz w:val="24"/>
          <w:szCs w:val="24"/>
        </w:rPr>
        <w:t xml:space="preserve"> м</w:t>
      </w:r>
      <w:r w:rsidR="00B307C7" w:rsidRPr="004B47A0">
        <w:rPr>
          <w:rFonts w:ascii="Times New Roman" w:hAnsi="Times New Roman" w:cs="Times New Roman"/>
          <w:sz w:val="24"/>
          <w:szCs w:val="24"/>
        </w:rPr>
        <w:t>етодик</w:t>
      </w:r>
      <w:r w:rsidR="00946554" w:rsidRPr="004B47A0">
        <w:rPr>
          <w:rFonts w:ascii="Times New Roman" w:hAnsi="Times New Roman" w:cs="Times New Roman"/>
          <w:sz w:val="24"/>
          <w:szCs w:val="24"/>
        </w:rPr>
        <w:t>у</w:t>
      </w:r>
      <w:r w:rsidR="00B307C7" w:rsidRPr="004B47A0">
        <w:rPr>
          <w:rFonts w:ascii="Times New Roman" w:hAnsi="Times New Roman" w:cs="Times New Roman"/>
          <w:sz w:val="24"/>
          <w:szCs w:val="24"/>
        </w:rPr>
        <w:t xml:space="preserve"> прогнозирования </w:t>
      </w:r>
      <w:r w:rsidR="006E47B4" w:rsidRPr="004B47A0">
        <w:rPr>
          <w:rFonts w:ascii="Times New Roman" w:hAnsi="Times New Roman" w:cs="Times New Roman"/>
          <w:sz w:val="24"/>
          <w:szCs w:val="24"/>
        </w:rPr>
        <w:t>поступлений</w:t>
      </w:r>
      <w:r w:rsidR="00B307C7" w:rsidRPr="004B47A0">
        <w:rPr>
          <w:rFonts w:ascii="Times New Roman" w:hAnsi="Times New Roman" w:cs="Times New Roman"/>
          <w:sz w:val="24"/>
          <w:szCs w:val="24"/>
        </w:rPr>
        <w:t xml:space="preserve"> доходов </w:t>
      </w:r>
      <w:r w:rsidR="006E47B4" w:rsidRPr="004B47A0">
        <w:rPr>
          <w:rFonts w:ascii="Times New Roman" w:hAnsi="Times New Roman" w:cs="Times New Roman"/>
          <w:sz w:val="24"/>
          <w:szCs w:val="24"/>
        </w:rPr>
        <w:t xml:space="preserve">в бюджет городского округа </w:t>
      </w:r>
      <w:r w:rsidR="00B307C7" w:rsidRPr="004B47A0">
        <w:rPr>
          <w:rFonts w:ascii="Times New Roman" w:hAnsi="Times New Roman" w:cs="Times New Roman"/>
          <w:sz w:val="24"/>
          <w:szCs w:val="24"/>
        </w:rPr>
        <w:t>Урай</w:t>
      </w:r>
      <w:r w:rsidR="006E47B4" w:rsidRPr="004B47A0">
        <w:rPr>
          <w:rFonts w:ascii="Times New Roman" w:hAnsi="Times New Roman" w:cs="Times New Roman"/>
          <w:sz w:val="24"/>
          <w:szCs w:val="24"/>
        </w:rPr>
        <w:t xml:space="preserve"> Ханты-Мансийского автономного округа – Югры</w:t>
      </w:r>
      <w:r w:rsidR="00B307C7" w:rsidRPr="004B47A0">
        <w:rPr>
          <w:rFonts w:ascii="Times New Roman" w:hAnsi="Times New Roman" w:cs="Times New Roman"/>
          <w:sz w:val="24"/>
          <w:szCs w:val="24"/>
        </w:rPr>
        <w:t>, администрируемых Комитетом по финансам  администрации города Урай</w:t>
      </w:r>
      <w:r w:rsidR="006E47B4" w:rsidRPr="004B47A0">
        <w:rPr>
          <w:rFonts w:ascii="Times New Roman" w:hAnsi="Times New Roman" w:cs="Times New Roman"/>
          <w:sz w:val="24"/>
          <w:szCs w:val="24"/>
        </w:rPr>
        <w:t xml:space="preserve"> (далее – Методика) согласно п</w:t>
      </w:r>
      <w:r w:rsidR="006433A1" w:rsidRPr="004B47A0">
        <w:rPr>
          <w:rFonts w:ascii="Times New Roman" w:hAnsi="Times New Roman" w:cs="Times New Roman"/>
          <w:sz w:val="24"/>
          <w:szCs w:val="24"/>
        </w:rPr>
        <w:t>риложению</w:t>
      </w:r>
      <w:r w:rsidR="00946554" w:rsidRPr="004B47A0">
        <w:rPr>
          <w:rFonts w:ascii="Times New Roman" w:hAnsi="Times New Roman" w:cs="Times New Roman"/>
          <w:sz w:val="24"/>
          <w:szCs w:val="24"/>
        </w:rPr>
        <w:t>.</w:t>
      </w:r>
    </w:p>
    <w:p w:rsidR="00946554" w:rsidRPr="004B47A0" w:rsidRDefault="00D84355" w:rsidP="006E47B4">
      <w:pPr>
        <w:ind w:firstLine="708"/>
        <w:jc w:val="both"/>
        <w:rPr>
          <w:sz w:val="24"/>
          <w:szCs w:val="24"/>
        </w:rPr>
      </w:pPr>
      <w:r w:rsidRPr="003311C5">
        <w:rPr>
          <w:sz w:val="24"/>
          <w:szCs w:val="24"/>
        </w:rPr>
        <w:t xml:space="preserve">2. </w:t>
      </w:r>
      <w:r w:rsidR="00EC4A91" w:rsidRPr="00D17B04">
        <w:rPr>
          <w:sz w:val="24"/>
          <w:szCs w:val="24"/>
        </w:rPr>
        <w:t>Отделу доходов и налоговой политике бюджетного управления, отделу казначейского исполнения  бюджета и сводной отчетности</w:t>
      </w:r>
      <w:r w:rsidR="00EC4A91" w:rsidRPr="003311C5">
        <w:rPr>
          <w:sz w:val="24"/>
          <w:szCs w:val="24"/>
        </w:rPr>
        <w:t xml:space="preserve"> </w:t>
      </w:r>
      <w:r w:rsidR="00946554" w:rsidRPr="003311C5">
        <w:rPr>
          <w:sz w:val="24"/>
          <w:szCs w:val="24"/>
        </w:rPr>
        <w:t>при прогнозировании поступлений доходов в</w:t>
      </w:r>
      <w:r w:rsidR="006E47B4" w:rsidRPr="003311C5">
        <w:rPr>
          <w:sz w:val="24"/>
          <w:szCs w:val="24"/>
        </w:rPr>
        <w:t xml:space="preserve"> бюджет городского округа </w:t>
      </w:r>
      <w:r w:rsidR="00946554" w:rsidRPr="003311C5">
        <w:rPr>
          <w:sz w:val="24"/>
          <w:szCs w:val="24"/>
        </w:rPr>
        <w:t xml:space="preserve">Урай </w:t>
      </w:r>
      <w:r w:rsidR="006E47B4" w:rsidRPr="003311C5">
        <w:rPr>
          <w:sz w:val="24"/>
          <w:szCs w:val="24"/>
        </w:rPr>
        <w:t xml:space="preserve">Ханты-Мансийского автономного округа – Югры </w:t>
      </w:r>
      <w:r w:rsidR="00946554" w:rsidRPr="003311C5">
        <w:rPr>
          <w:sz w:val="24"/>
          <w:szCs w:val="24"/>
        </w:rPr>
        <w:t xml:space="preserve">на очередной финансовый год и </w:t>
      </w:r>
      <w:r w:rsidR="006E47B4" w:rsidRPr="003311C5">
        <w:rPr>
          <w:sz w:val="24"/>
          <w:szCs w:val="24"/>
        </w:rPr>
        <w:t xml:space="preserve">на </w:t>
      </w:r>
      <w:r w:rsidR="00946554" w:rsidRPr="003311C5">
        <w:rPr>
          <w:sz w:val="24"/>
          <w:szCs w:val="24"/>
        </w:rPr>
        <w:t>плановый период руководствоваться настоящей Методикой.</w:t>
      </w:r>
    </w:p>
    <w:p w:rsidR="00946554" w:rsidRPr="004B47A0" w:rsidRDefault="006E47B4" w:rsidP="006E47B4">
      <w:pPr>
        <w:ind w:firstLine="708"/>
        <w:jc w:val="both"/>
        <w:rPr>
          <w:sz w:val="24"/>
          <w:szCs w:val="24"/>
        </w:rPr>
      </w:pPr>
      <w:r w:rsidRPr="004B47A0">
        <w:rPr>
          <w:sz w:val="24"/>
          <w:szCs w:val="24"/>
        </w:rPr>
        <w:t>3. Признать утратившим силу приказ</w:t>
      </w:r>
      <w:r w:rsidR="00946554" w:rsidRPr="004B47A0">
        <w:rPr>
          <w:sz w:val="24"/>
          <w:szCs w:val="24"/>
        </w:rPr>
        <w:t xml:space="preserve"> Комитета по фина</w:t>
      </w:r>
      <w:r w:rsidRPr="004B47A0">
        <w:rPr>
          <w:sz w:val="24"/>
          <w:szCs w:val="24"/>
        </w:rPr>
        <w:t>нсам администрации города Урай от 25</w:t>
      </w:r>
      <w:r w:rsidR="00946554" w:rsidRPr="004B47A0">
        <w:rPr>
          <w:sz w:val="24"/>
          <w:szCs w:val="24"/>
        </w:rPr>
        <w:t>.</w:t>
      </w:r>
      <w:r w:rsidRPr="004B47A0">
        <w:rPr>
          <w:sz w:val="24"/>
          <w:szCs w:val="24"/>
        </w:rPr>
        <w:t>10.2018 №107/1</w:t>
      </w:r>
      <w:r w:rsidR="00946554" w:rsidRPr="004B47A0">
        <w:rPr>
          <w:sz w:val="24"/>
          <w:szCs w:val="24"/>
        </w:rPr>
        <w:t xml:space="preserve">-од «О Методике </w:t>
      </w:r>
      <w:proofErr w:type="gramStart"/>
      <w:r w:rsidR="00946554" w:rsidRPr="004B47A0">
        <w:rPr>
          <w:sz w:val="24"/>
          <w:szCs w:val="24"/>
        </w:rPr>
        <w:t>прогнозирования поступления доходов бюджета городского округа</w:t>
      </w:r>
      <w:proofErr w:type="gramEnd"/>
      <w:r w:rsidR="00946554" w:rsidRPr="004B47A0">
        <w:rPr>
          <w:sz w:val="24"/>
          <w:szCs w:val="24"/>
        </w:rPr>
        <w:t xml:space="preserve"> город Урай, администрируемых Комитетом по финан</w:t>
      </w:r>
      <w:r w:rsidRPr="004B47A0">
        <w:rPr>
          <w:sz w:val="24"/>
          <w:szCs w:val="24"/>
        </w:rPr>
        <w:t>сам  администрации города Урай».</w:t>
      </w:r>
    </w:p>
    <w:p w:rsidR="0058780B" w:rsidRPr="004B47A0" w:rsidRDefault="0058780B" w:rsidP="0058780B">
      <w:pPr>
        <w:adjustRightInd w:val="0"/>
        <w:ind w:firstLine="709"/>
        <w:jc w:val="both"/>
        <w:rPr>
          <w:sz w:val="24"/>
          <w:szCs w:val="24"/>
        </w:rPr>
      </w:pPr>
      <w:r w:rsidRPr="004B47A0">
        <w:rPr>
          <w:sz w:val="24"/>
          <w:szCs w:val="24"/>
        </w:rPr>
        <w:t xml:space="preserve">4. </w:t>
      </w:r>
      <w:proofErr w:type="gramStart"/>
      <w:r w:rsidRPr="004B47A0">
        <w:rPr>
          <w:sz w:val="24"/>
          <w:szCs w:val="24"/>
        </w:rPr>
        <w:t>Разместить приказ</w:t>
      </w:r>
      <w:proofErr w:type="gramEnd"/>
      <w:r w:rsidRPr="004B47A0">
        <w:rPr>
          <w:sz w:val="24"/>
          <w:szCs w:val="24"/>
        </w:rPr>
        <w:t xml:space="preserve"> на официальном сайте органов местного самоуправления города Урай в информационно-телекоммуникационной сети «Интернет».</w:t>
      </w:r>
    </w:p>
    <w:p w:rsidR="00D84355" w:rsidRPr="004B47A0" w:rsidRDefault="006E47B4" w:rsidP="00DC1DC4">
      <w:pPr>
        <w:tabs>
          <w:tab w:val="left" w:pos="709"/>
        </w:tabs>
        <w:ind w:firstLine="567"/>
        <w:jc w:val="both"/>
        <w:rPr>
          <w:sz w:val="24"/>
          <w:szCs w:val="24"/>
        </w:rPr>
      </w:pPr>
      <w:r w:rsidRPr="004B47A0">
        <w:rPr>
          <w:sz w:val="24"/>
          <w:szCs w:val="24"/>
        </w:rPr>
        <w:tab/>
      </w:r>
      <w:r w:rsidR="0058780B" w:rsidRPr="004B47A0">
        <w:rPr>
          <w:sz w:val="24"/>
          <w:szCs w:val="24"/>
        </w:rPr>
        <w:t>5</w:t>
      </w:r>
      <w:r w:rsidR="00D84355" w:rsidRPr="004B47A0">
        <w:rPr>
          <w:sz w:val="24"/>
          <w:szCs w:val="24"/>
        </w:rPr>
        <w:t xml:space="preserve">. </w:t>
      </w:r>
      <w:proofErr w:type="gramStart"/>
      <w:r w:rsidR="00D84355" w:rsidRPr="004B47A0">
        <w:rPr>
          <w:sz w:val="24"/>
          <w:szCs w:val="24"/>
        </w:rPr>
        <w:t>Контроль  за</w:t>
      </w:r>
      <w:proofErr w:type="gramEnd"/>
      <w:r w:rsidR="00D84355" w:rsidRPr="004B47A0">
        <w:rPr>
          <w:sz w:val="24"/>
          <w:szCs w:val="24"/>
        </w:rPr>
        <w:t xml:space="preserve">  выполнением приказа </w:t>
      </w:r>
      <w:r w:rsidR="00336E4D" w:rsidRPr="004B47A0">
        <w:rPr>
          <w:sz w:val="24"/>
          <w:szCs w:val="24"/>
        </w:rPr>
        <w:t>оставляю за собой</w:t>
      </w:r>
      <w:r w:rsidR="00946554" w:rsidRPr="004B47A0">
        <w:rPr>
          <w:sz w:val="24"/>
          <w:szCs w:val="24"/>
        </w:rPr>
        <w:t>.</w:t>
      </w:r>
    </w:p>
    <w:p w:rsidR="00D84355" w:rsidRPr="004B47A0" w:rsidRDefault="00D84355" w:rsidP="00D84355">
      <w:pPr>
        <w:ind w:firstLine="709"/>
        <w:jc w:val="both"/>
        <w:rPr>
          <w:sz w:val="24"/>
          <w:szCs w:val="24"/>
        </w:rPr>
      </w:pPr>
    </w:p>
    <w:p w:rsidR="00D84355" w:rsidRPr="004B47A0" w:rsidRDefault="00D84355" w:rsidP="00D84355">
      <w:pPr>
        <w:rPr>
          <w:sz w:val="24"/>
          <w:szCs w:val="24"/>
        </w:rPr>
      </w:pPr>
    </w:p>
    <w:p w:rsidR="00D84355" w:rsidRPr="004B47A0" w:rsidRDefault="00D84355" w:rsidP="00D84355">
      <w:pPr>
        <w:rPr>
          <w:sz w:val="24"/>
          <w:szCs w:val="24"/>
        </w:rPr>
      </w:pPr>
    </w:p>
    <w:p w:rsidR="00D84355" w:rsidRPr="004B47A0" w:rsidRDefault="00D84355" w:rsidP="00D84355">
      <w:pPr>
        <w:rPr>
          <w:sz w:val="24"/>
          <w:szCs w:val="24"/>
        </w:rPr>
      </w:pPr>
      <w:r w:rsidRPr="004B47A0">
        <w:rPr>
          <w:sz w:val="24"/>
          <w:szCs w:val="24"/>
        </w:rPr>
        <w:t>Председатель                                                                                                        И.В.Хусаинова</w:t>
      </w:r>
    </w:p>
    <w:p w:rsidR="00297DAF" w:rsidRPr="004B47A0" w:rsidRDefault="00297DAF" w:rsidP="00D84355">
      <w:pPr>
        <w:pStyle w:val="ConsPlusNormal"/>
        <w:jc w:val="right"/>
        <w:outlineLvl w:val="0"/>
        <w:rPr>
          <w:rFonts w:ascii="Times New Roman" w:hAnsi="Times New Roman" w:cs="Times New Roman"/>
          <w:sz w:val="16"/>
          <w:szCs w:val="16"/>
        </w:rPr>
      </w:pPr>
    </w:p>
    <w:p w:rsidR="006E47B4" w:rsidRPr="004B47A0" w:rsidRDefault="006E47B4" w:rsidP="00D84355">
      <w:pPr>
        <w:pStyle w:val="ConsPlusNormal"/>
        <w:jc w:val="right"/>
        <w:outlineLvl w:val="0"/>
        <w:rPr>
          <w:rFonts w:ascii="Times New Roman" w:hAnsi="Times New Roman" w:cs="Times New Roman"/>
          <w:sz w:val="16"/>
          <w:szCs w:val="16"/>
        </w:rPr>
      </w:pPr>
    </w:p>
    <w:p w:rsidR="006E47B4" w:rsidRPr="004B47A0" w:rsidRDefault="006E47B4" w:rsidP="00D84355">
      <w:pPr>
        <w:pStyle w:val="ConsPlusNormal"/>
        <w:jc w:val="right"/>
        <w:outlineLvl w:val="0"/>
        <w:rPr>
          <w:rFonts w:ascii="Times New Roman" w:hAnsi="Times New Roman" w:cs="Times New Roman"/>
          <w:sz w:val="16"/>
          <w:szCs w:val="16"/>
        </w:rPr>
      </w:pPr>
    </w:p>
    <w:p w:rsidR="006E47B4" w:rsidRPr="004B47A0" w:rsidRDefault="006E47B4" w:rsidP="00794481">
      <w:pPr>
        <w:pStyle w:val="ConsPlusNormal"/>
        <w:outlineLvl w:val="0"/>
        <w:rPr>
          <w:rFonts w:ascii="Times New Roman" w:hAnsi="Times New Roman" w:cs="Times New Roman"/>
          <w:sz w:val="16"/>
          <w:szCs w:val="16"/>
        </w:rPr>
      </w:pPr>
    </w:p>
    <w:p w:rsidR="00D84355" w:rsidRPr="004B47A0" w:rsidRDefault="00772483" w:rsidP="00D84355">
      <w:pPr>
        <w:pStyle w:val="ConsPlusNormal"/>
        <w:jc w:val="right"/>
        <w:outlineLvl w:val="0"/>
        <w:rPr>
          <w:rFonts w:ascii="Times New Roman" w:hAnsi="Times New Roman" w:cs="Times New Roman"/>
          <w:sz w:val="24"/>
          <w:szCs w:val="24"/>
        </w:rPr>
      </w:pPr>
      <w:r w:rsidRPr="004B47A0">
        <w:rPr>
          <w:rFonts w:ascii="Times New Roman" w:hAnsi="Times New Roman" w:cs="Times New Roman"/>
          <w:sz w:val="24"/>
          <w:szCs w:val="24"/>
        </w:rPr>
        <w:t>П</w:t>
      </w:r>
      <w:r w:rsidR="00D84355" w:rsidRPr="004B47A0">
        <w:rPr>
          <w:rFonts w:ascii="Times New Roman" w:hAnsi="Times New Roman" w:cs="Times New Roman"/>
          <w:sz w:val="24"/>
          <w:szCs w:val="24"/>
        </w:rPr>
        <w:t>риложение</w:t>
      </w:r>
    </w:p>
    <w:p w:rsidR="00297DAF" w:rsidRPr="004B47A0" w:rsidRDefault="00297DAF" w:rsidP="00D84355">
      <w:pPr>
        <w:pStyle w:val="ConsPlusNormal"/>
        <w:jc w:val="right"/>
        <w:outlineLvl w:val="0"/>
        <w:rPr>
          <w:rFonts w:ascii="Times New Roman" w:hAnsi="Times New Roman" w:cs="Times New Roman"/>
          <w:sz w:val="24"/>
          <w:szCs w:val="24"/>
        </w:rPr>
      </w:pPr>
      <w:r w:rsidRPr="004B47A0">
        <w:rPr>
          <w:rFonts w:ascii="Times New Roman" w:hAnsi="Times New Roman" w:cs="Times New Roman"/>
          <w:sz w:val="24"/>
          <w:szCs w:val="24"/>
        </w:rPr>
        <w:t xml:space="preserve">к приказу Комитета по финансам </w:t>
      </w:r>
    </w:p>
    <w:p w:rsidR="006E47B4" w:rsidRPr="004B47A0" w:rsidRDefault="00297DAF" w:rsidP="00D84355">
      <w:pPr>
        <w:pStyle w:val="ConsPlusNormal"/>
        <w:jc w:val="right"/>
        <w:outlineLvl w:val="0"/>
        <w:rPr>
          <w:rFonts w:ascii="Times New Roman" w:hAnsi="Times New Roman" w:cs="Times New Roman"/>
          <w:sz w:val="24"/>
          <w:szCs w:val="24"/>
        </w:rPr>
      </w:pPr>
      <w:r w:rsidRPr="004B47A0">
        <w:rPr>
          <w:rFonts w:ascii="Times New Roman" w:hAnsi="Times New Roman" w:cs="Times New Roman"/>
          <w:sz w:val="24"/>
          <w:szCs w:val="24"/>
        </w:rPr>
        <w:t xml:space="preserve">администрации города Урай </w:t>
      </w:r>
    </w:p>
    <w:p w:rsidR="00297DAF" w:rsidRPr="004B47A0" w:rsidRDefault="00491ADB" w:rsidP="00D8435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28</w:t>
      </w:r>
      <w:r w:rsidR="00CB5439" w:rsidRPr="004B47A0">
        <w:rPr>
          <w:rFonts w:ascii="Times New Roman" w:hAnsi="Times New Roman" w:cs="Times New Roman"/>
          <w:sz w:val="24"/>
          <w:szCs w:val="24"/>
        </w:rPr>
        <w:t>.12</w:t>
      </w:r>
      <w:r>
        <w:rPr>
          <w:rFonts w:ascii="Times New Roman" w:hAnsi="Times New Roman" w:cs="Times New Roman"/>
          <w:sz w:val="24"/>
          <w:szCs w:val="24"/>
        </w:rPr>
        <w:t>.2022 № 114</w:t>
      </w:r>
      <w:r w:rsidR="006E47B4" w:rsidRPr="004B47A0">
        <w:rPr>
          <w:rFonts w:ascii="Times New Roman" w:hAnsi="Times New Roman" w:cs="Times New Roman"/>
          <w:sz w:val="24"/>
          <w:szCs w:val="24"/>
        </w:rPr>
        <w:t xml:space="preserve"> </w:t>
      </w:r>
      <w:r w:rsidR="00297DAF" w:rsidRPr="004B47A0">
        <w:rPr>
          <w:rFonts w:ascii="Times New Roman" w:hAnsi="Times New Roman" w:cs="Times New Roman"/>
          <w:sz w:val="24"/>
          <w:szCs w:val="24"/>
        </w:rPr>
        <w:t>-</w:t>
      </w:r>
      <w:r w:rsidR="006E47B4" w:rsidRPr="004B47A0">
        <w:rPr>
          <w:rFonts w:ascii="Times New Roman" w:hAnsi="Times New Roman" w:cs="Times New Roman"/>
          <w:sz w:val="24"/>
          <w:szCs w:val="24"/>
        </w:rPr>
        <w:t xml:space="preserve"> </w:t>
      </w:r>
      <w:r w:rsidR="00297DAF" w:rsidRPr="004B47A0">
        <w:rPr>
          <w:rFonts w:ascii="Times New Roman" w:hAnsi="Times New Roman" w:cs="Times New Roman"/>
          <w:sz w:val="24"/>
          <w:szCs w:val="24"/>
        </w:rPr>
        <w:t xml:space="preserve">од </w:t>
      </w:r>
    </w:p>
    <w:p w:rsidR="006433A1" w:rsidRPr="00EC4A91" w:rsidRDefault="00EC4A91" w:rsidP="00EC4A91">
      <w:pPr>
        <w:pStyle w:val="a5"/>
        <w:jc w:val="right"/>
      </w:pPr>
      <w:r w:rsidRPr="00EC4A91">
        <w:t>(в редакции от 03.04.2023 №24-од)</w:t>
      </w:r>
    </w:p>
    <w:p w:rsidR="006E47B4" w:rsidRPr="004B47A0" w:rsidRDefault="006E47B4" w:rsidP="006433A1">
      <w:pPr>
        <w:pStyle w:val="a5"/>
        <w:jc w:val="center"/>
        <w:rPr>
          <w:b/>
          <w:sz w:val="24"/>
          <w:szCs w:val="24"/>
        </w:rPr>
      </w:pPr>
    </w:p>
    <w:p w:rsidR="006433A1" w:rsidRPr="00E33F13" w:rsidRDefault="00D84355" w:rsidP="006433A1">
      <w:pPr>
        <w:pStyle w:val="a5"/>
        <w:jc w:val="center"/>
        <w:rPr>
          <w:sz w:val="24"/>
          <w:szCs w:val="24"/>
        </w:rPr>
      </w:pPr>
      <w:r w:rsidRPr="00E33F13">
        <w:rPr>
          <w:sz w:val="24"/>
          <w:szCs w:val="24"/>
        </w:rPr>
        <w:t>Методика</w:t>
      </w:r>
    </w:p>
    <w:p w:rsidR="00D84355" w:rsidRPr="00E33F13" w:rsidRDefault="00D84355" w:rsidP="006433A1">
      <w:pPr>
        <w:pStyle w:val="a5"/>
        <w:jc w:val="center"/>
        <w:rPr>
          <w:sz w:val="24"/>
          <w:szCs w:val="24"/>
        </w:rPr>
      </w:pPr>
      <w:r w:rsidRPr="00E33F13">
        <w:rPr>
          <w:sz w:val="24"/>
          <w:szCs w:val="24"/>
        </w:rPr>
        <w:t>прогнозирования поступлений доходов</w:t>
      </w:r>
      <w:r w:rsidR="00772483" w:rsidRPr="00E33F13">
        <w:rPr>
          <w:sz w:val="24"/>
          <w:szCs w:val="24"/>
        </w:rPr>
        <w:t xml:space="preserve"> </w:t>
      </w:r>
      <w:r w:rsidR="00917FD8" w:rsidRPr="00E33F13">
        <w:rPr>
          <w:sz w:val="24"/>
          <w:szCs w:val="24"/>
        </w:rPr>
        <w:t xml:space="preserve">в </w:t>
      </w:r>
      <w:r w:rsidR="006E47B4" w:rsidRPr="00E33F13">
        <w:rPr>
          <w:sz w:val="24"/>
          <w:szCs w:val="24"/>
        </w:rPr>
        <w:t xml:space="preserve">бюджет городского округа </w:t>
      </w:r>
      <w:r w:rsidR="00772483" w:rsidRPr="00E33F13">
        <w:rPr>
          <w:sz w:val="24"/>
          <w:szCs w:val="24"/>
        </w:rPr>
        <w:t>Урай</w:t>
      </w:r>
      <w:r w:rsidR="006E47B4" w:rsidRPr="00E33F13">
        <w:rPr>
          <w:sz w:val="24"/>
          <w:szCs w:val="24"/>
        </w:rPr>
        <w:t xml:space="preserve"> Ханты-Мансийского автономного округа - Югры</w:t>
      </w:r>
      <w:r w:rsidRPr="00E33F13">
        <w:rPr>
          <w:sz w:val="24"/>
          <w:szCs w:val="24"/>
        </w:rPr>
        <w:t>, администрируемых Комитетом по финансам администрации города Урай</w:t>
      </w:r>
    </w:p>
    <w:p w:rsidR="00D84355" w:rsidRPr="00E33F13" w:rsidRDefault="00D84355" w:rsidP="00D84355">
      <w:pPr>
        <w:pStyle w:val="ConsPlusTitle"/>
        <w:jc w:val="center"/>
        <w:outlineLvl w:val="1"/>
        <w:rPr>
          <w:rFonts w:ascii="Times New Roman" w:hAnsi="Times New Roman" w:cs="Times New Roman"/>
          <w:b w:val="0"/>
          <w:sz w:val="24"/>
          <w:szCs w:val="24"/>
        </w:rPr>
      </w:pPr>
    </w:p>
    <w:p w:rsidR="00100C9E" w:rsidRPr="00E33F13" w:rsidRDefault="00D84355" w:rsidP="00C9242C">
      <w:pPr>
        <w:pStyle w:val="ConsPlusTitle"/>
        <w:jc w:val="center"/>
        <w:outlineLvl w:val="1"/>
        <w:rPr>
          <w:rFonts w:ascii="Times New Roman" w:hAnsi="Times New Roman" w:cs="Times New Roman"/>
          <w:b w:val="0"/>
          <w:sz w:val="24"/>
          <w:szCs w:val="24"/>
        </w:rPr>
      </w:pPr>
      <w:r w:rsidRPr="00E33F13">
        <w:rPr>
          <w:rFonts w:ascii="Times New Roman" w:hAnsi="Times New Roman" w:cs="Times New Roman"/>
          <w:b w:val="0"/>
          <w:sz w:val="24"/>
          <w:szCs w:val="24"/>
        </w:rPr>
        <w:t>1. Общие положения</w:t>
      </w:r>
    </w:p>
    <w:p w:rsidR="00100C9E" w:rsidRPr="004B47A0" w:rsidRDefault="00100C9E" w:rsidP="00100C9E">
      <w:pPr>
        <w:pStyle w:val="a5"/>
        <w:jc w:val="both"/>
        <w:rPr>
          <w:sz w:val="24"/>
          <w:szCs w:val="24"/>
        </w:rPr>
      </w:pPr>
    </w:p>
    <w:p w:rsidR="00CB5439" w:rsidRPr="004B47A0" w:rsidRDefault="00946554" w:rsidP="00CB5439">
      <w:pPr>
        <w:adjustRightInd w:val="0"/>
        <w:ind w:firstLine="709"/>
        <w:jc w:val="both"/>
        <w:rPr>
          <w:sz w:val="24"/>
          <w:szCs w:val="24"/>
        </w:rPr>
      </w:pPr>
      <w:r w:rsidRPr="004B47A0">
        <w:rPr>
          <w:sz w:val="24"/>
          <w:szCs w:val="24"/>
        </w:rPr>
        <w:t>1.1.</w:t>
      </w:r>
      <w:r w:rsidR="00610695" w:rsidRPr="004B47A0">
        <w:rPr>
          <w:sz w:val="24"/>
          <w:szCs w:val="24"/>
        </w:rPr>
        <w:t xml:space="preserve"> </w:t>
      </w:r>
      <w:proofErr w:type="gramStart"/>
      <w:r w:rsidR="00CB5439" w:rsidRPr="004B47A0">
        <w:rPr>
          <w:sz w:val="24"/>
          <w:szCs w:val="24"/>
        </w:rPr>
        <w:t>Настоящая м</w:t>
      </w:r>
      <w:r w:rsidRPr="004B47A0">
        <w:rPr>
          <w:sz w:val="24"/>
          <w:szCs w:val="24"/>
        </w:rPr>
        <w:t>етодика прогнозирования поступлений доходов в бюджет городского округа Урай</w:t>
      </w:r>
      <w:r w:rsidR="00610695" w:rsidRPr="004B47A0">
        <w:rPr>
          <w:sz w:val="24"/>
          <w:szCs w:val="24"/>
        </w:rPr>
        <w:t xml:space="preserve"> Ханты-Мансийского автономного округа - Югры</w:t>
      </w:r>
      <w:r w:rsidRPr="004B47A0">
        <w:rPr>
          <w:sz w:val="24"/>
          <w:szCs w:val="24"/>
        </w:rPr>
        <w:t>, администрируемых Комитетом по финансам администрации города Урай (далее – Методика, бюджет</w:t>
      </w:r>
      <w:r w:rsidR="00610695" w:rsidRPr="004B47A0">
        <w:rPr>
          <w:sz w:val="24"/>
          <w:szCs w:val="24"/>
        </w:rPr>
        <w:t xml:space="preserve"> города Урай</w:t>
      </w:r>
      <w:r w:rsidRPr="004B47A0">
        <w:rPr>
          <w:sz w:val="24"/>
          <w:szCs w:val="24"/>
        </w:rPr>
        <w:t>)</w:t>
      </w:r>
      <w:r w:rsidR="00CB5439" w:rsidRPr="004B47A0">
        <w:rPr>
          <w:sz w:val="24"/>
          <w:szCs w:val="24"/>
        </w:rPr>
        <w:t xml:space="preserve"> разработана в соответствии с Бюджетным </w:t>
      </w:r>
      <w:hyperlink r:id="rId9" w:history="1">
        <w:r w:rsidR="00CB5439" w:rsidRPr="004B47A0">
          <w:rPr>
            <w:sz w:val="24"/>
            <w:szCs w:val="24"/>
          </w:rPr>
          <w:t>кодексом</w:t>
        </w:r>
      </w:hyperlink>
      <w:r w:rsidR="00CB5439" w:rsidRPr="004B47A0">
        <w:rPr>
          <w:sz w:val="24"/>
          <w:szCs w:val="24"/>
        </w:rPr>
        <w:t xml:space="preserve"> Российской Федерации, </w:t>
      </w:r>
      <w:hyperlink r:id="rId10" w:history="1">
        <w:r w:rsidR="00CB5439" w:rsidRPr="004B47A0">
          <w:rPr>
            <w:sz w:val="24"/>
            <w:szCs w:val="24"/>
          </w:rPr>
          <w:t>постановлением</w:t>
        </w:r>
      </w:hyperlink>
      <w:r w:rsidR="00CB5439" w:rsidRPr="004B47A0">
        <w:rPr>
          <w:sz w:val="24"/>
          <w:szCs w:val="24"/>
        </w:rPr>
        <w:t xml:space="preserve"> Правительства Российской Федерации от 23.06.2016 №574 «Об общих требованиях к методике прогнозирования поступлений доходов в бюджеты бюджетной системы Российской Федерации» и</w:t>
      </w:r>
      <w:r w:rsidRPr="004B47A0">
        <w:rPr>
          <w:sz w:val="24"/>
          <w:szCs w:val="24"/>
        </w:rPr>
        <w:t xml:space="preserve"> </w:t>
      </w:r>
      <w:r w:rsidR="00610695" w:rsidRPr="004B47A0">
        <w:rPr>
          <w:sz w:val="24"/>
          <w:szCs w:val="24"/>
        </w:rPr>
        <w:t>определяет правила прогнозирования поступлений</w:t>
      </w:r>
      <w:proofErr w:type="gramEnd"/>
      <w:r w:rsidR="00610695" w:rsidRPr="004B47A0">
        <w:rPr>
          <w:sz w:val="24"/>
          <w:szCs w:val="24"/>
        </w:rPr>
        <w:t xml:space="preserve"> доходов в бюджет города Урай </w:t>
      </w:r>
      <w:r w:rsidR="00CB5439" w:rsidRPr="004B47A0">
        <w:rPr>
          <w:sz w:val="24"/>
          <w:szCs w:val="24"/>
        </w:rPr>
        <w:t xml:space="preserve">по всем кодам классификации доходов, в отношении которых Комитет по финансам администрации города Урай осуществляет полномочия главного администратора доходов (далее – доходы, </w:t>
      </w:r>
      <w:proofErr w:type="spellStart"/>
      <w:r w:rsidR="00CB5439" w:rsidRPr="004B47A0">
        <w:rPr>
          <w:sz w:val="24"/>
          <w:szCs w:val="24"/>
        </w:rPr>
        <w:t>администрируемые</w:t>
      </w:r>
      <w:proofErr w:type="spellEnd"/>
      <w:r w:rsidR="00CB5439" w:rsidRPr="004B47A0">
        <w:rPr>
          <w:sz w:val="24"/>
          <w:szCs w:val="24"/>
        </w:rPr>
        <w:t xml:space="preserve"> доходы).</w:t>
      </w:r>
    </w:p>
    <w:p w:rsidR="00CB5439" w:rsidRPr="004B47A0" w:rsidRDefault="00CB5439" w:rsidP="00CB5439">
      <w:pPr>
        <w:pStyle w:val="a5"/>
        <w:ind w:firstLine="708"/>
        <w:jc w:val="both"/>
        <w:rPr>
          <w:sz w:val="24"/>
          <w:szCs w:val="24"/>
        </w:rPr>
      </w:pPr>
      <w:r w:rsidRPr="004B47A0">
        <w:rPr>
          <w:sz w:val="24"/>
          <w:szCs w:val="24"/>
        </w:rPr>
        <w:t>1.2. Прогнозирование поступлений доходов осуществляется на основе единых подходов к прогнозированию поступлений доходов в текущем финансовом году, очередном финансовом году и плановом периоде в целях повышения эффективности и объективности прогнозирования администрируемых доходов и содержит:</w:t>
      </w:r>
    </w:p>
    <w:p w:rsidR="00CB5439" w:rsidRPr="004B47A0" w:rsidRDefault="00CB5439" w:rsidP="00CB5439">
      <w:pPr>
        <w:adjustRightInd w:val="0"/>
        <w:ind w:firstLine="708"/>
        <w:jc w:val="both"/>
        <w:rPr>
          <w:rFonts w:eastAsiaTheme="minorHAnsi"/>
          <w:sz w:val="24"/>
          <w:szCs w:val="24"/>
          <w:lang w:eastAsia="en-US"/>
        </w:rPr>
      </w:pPr>
      <w:r w:rsidRPr="004B47A0">
        <w:rPr>
          <w:rFonts w:eastAsiaTheme="minorHAnsi"/>
          <w:sz w:val="24"/>
          <w:szCs w:val="24"/>
          <w:lang w:eastAsia="en-US"/>
        </w:rPr>
        <w:t>а) наименование вида доходов и соответствующий код бюджетной классификации Российской Федерации (далее – КБК);</w:t>
      </w:r>
    </w:p>
    <w:p w:rsidR="00CB5439" w:rsidRPr="004B47A0" w:rsidRDefault="00CB5439" w:rsidP="00CB5439">
      <w:pPr>
        <w:adjustRightInd w:val="0"/>
        <w:jc w:val="both"/>
        <w:rPr>
          <w:rFonts w:eastAsiaTheme="minorHAnsi"/>
          <w:sz w:val="24"/>
          <w:szCs w:val="24"/>
          <w:lang w:eastAsia="en-US"/>
        </w:rPr>
      </w:pPr>
      <w:r w:rsidRPr="004B47A0">
        <w:rPr>
          <w:sz w:val="24"/>
          <w:szCs w:val="24"/>
        </w:rPr>
        <w:t xml:space="preserve"> </w:t>
      </w:r>
      <w:r w:rsidRPr="004B47A0">
        <w:rPr>
          <w:sz w:val="24"/>
          <w:szCs w:val="24"/>
        </w:rPr>
        <w:tab/>
        <w:t xml:space="preserve">б) </w:t>
      </w:r>
      <w:r w:rsidRPr="004B47A0">
        <w:rPr>
          <w:rFonts w:eastAsiaTheme="minorHAnsi"/>
          <w:sz w:val="24"/>
          <w:szCs w:val="24"/>
          <w:lang w:eastAsia="en-US"/>
        </w:rPr>
        <w:t>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CB5439" w:rsidRPr="004B47A0" w:rsidRDefault="00CB5439" w:rsidP="00CB5439">
      <w:pPr>
        <w:tabs>
          <w:tab w:val="left" w:pos="709"/>
        </w:tabs>
        <w:jc w:val="both"/>
        <w:rPr>
          <w:sz w:val="24"/>
          <w:szCs w:val="24"/>
        </w:rPr>
      </w:pPr>
      <w:r w:rsidRPr="004B47A0">
        <w:rPr>
          <w:sz w:val="24"/>
          <w:szCs w:val="24"/>
        </w:rPr>
        <w:tab/>
        <w:t xml:space="preserve">в)  характеристику метода расчета прогнозного объема поступлений по каждому виду доходов; </w:t>
      </w:r>
    </w:p>
    <w:p w:rsidR="00CB5439" w:rsidRPr="004B47A0" w:rsidRDefault="00CB5439" w:rsidP="00CB5439">
      <w:pPr>
        <w:adjustRightInd w:val="0"/>
        <w:ind w:firstLine="708"/>
        <w:jc w:val="both"/>
        <w:rPr>
          <w:rFonts w:eastAsiaTheme="minorHAnsi"/>
          <w:sz w:val="24"/>
          <w:szCs w:val="24"/>
          <w:lang w:eastAsia="en-US"/>
        </w:rPr>
      </w:pPr>
      <w:r w:rsidRPr="004B47A0">
        <w:rPr>
          <w:rFonts w:eastAsiaTheme="minorHAnsi"/>
          <w:sz w:val="24"/>
          <w:szCs w:val="24"/>
          <w:lang w:eastAsia="en-US"/>
        </w:rPr>
        <w:t>г) описание фактического алгоритма (и (или) формулу) расчета прогнозируемого объема поступлений в бюджет</w:t>
      </w:r>
      <w:r w:rsidR="000352D4">
        <w:rPr>
          <w:rFonts w:eastAsiaTheme="minorHAnsi"/>
          <w:sz w:val="24"/>
          <w:szCs w:val="24"/>
          <w:lang w:eastAsia="en-US"/>
        </w:rPr>
        <w:t xml:space="preserve"> города Урай</w:t>
      </w:r>
      <w:r w:rsidRPr="004B47A0">
        <w:rPr>
          <w:rFonts w:eastAsiaTheme="minorHAnsi"/>
          <w:sz w:val="24"/>
          <w:szCs w:val="24"/>
          <w:lang w:eastAsia="en-US"/>
        </w:rPr>
        <w:t>.</w:t>
      </w:r>
    </w:p>
    <w:p w:rsidR="00F6364D" w:rsidRPr="004B47A0" w:rsidRDefault="00D42373" w:rsidP="00F6364D">
      <w:pPr>
        <w:adjustRightInd w:val="0"/>
        <w:ind w:firstLine="540"/>
        <w:jc w:val="both"/>
        <w:rPr>
          <w:rFonts w:eastAsiaTheme="minorHAnsi"/>
          <w:sz w:val="24"/>
          <w:szCs w:val="24"/>
          <w:lang w:eastAsia="en-US"/>
        </w:rPr>
      </w:pPr>
      <w:r w:rsidRPr="004B47A0">
        <w:rPr>
          <w:sz w:val="24"/>
        </w:rPr>
        <w:tab/>
      </w:r>
      <w:r w:rsidR="00F6364D" w:rsidRPr="004B47A0">
        <w:rPr>
          <w:sz w:val="24"/>
        </w:rPr>
        <w:t>1.3.</w:t>
      </w:r>
      <w:r w:rsidR="00F6364D" w:rsidRPr="004B47A0">
        <w:rPr>
          <w:sz w:val="24"/>
          <w:szCs w:val="24"/>
        </w:rPr>
        <w:t xml:space="preserve"> При формировании уточненного прогноза доходов на текущий финансовый год прогнозирование осуществляется</w:t>
      </w:r>
      <w:r w:rsidR="00303F22" w:rsidRPr="004B47A0">
        <w:rPr>
          <w:sz w:val="24"/>
          <w:szCs w:val="24"/>
        </w:rPr>
        <w:t>,</w:t>
      </w:r>
      <w:r w:rsidR="00F6364D" w:rsidRPr="004B47A0">
        <w:rPr>
          <w:sz w:val="24"/>
          <w:szCs w:val="24"/>
        </w:rPr>
        <w:t xml:space="preserve"> в том числе</w:t>
      </w:r>
      <w:r w:rsidR="00303F22" w:rsidRPr="004B47A0">
        <w:rPr>
          <w:sz w:val="24"/>
          <w:szCs w:val="24"/>
        </w:rPr>
        <w:t>,</w:t>
      </w:r>
      <w:r w:rsidR="00F6364D" w:rsidRPr="004B47A0">
        <w:rPr>
          <w:sz w:val="24"/>
          <w:szCs w:val="24"/>
        </w:rPr>
        <w:t xml:space="preserve"> с использованием данных о фактических поступлениях доходов за истекшие месяцы этого года.</w:t>
      </w:r>
    </w:p>
    <w:p w:rsidR="00D42373" w:rsidRPr="004B47A0" w:rsidRDefault="00F6364D" w:rsidP="00D42373">
      <w:pPr>
        <w:tabs>
          <w:tab w:val="left" w:pos="709"/>
        </w:tabs>
        <w:jc w:val="both"/>
        <w:rPr>
          <w:sz w:val="24"/>
        </w:rPr>
      </w:pPr>
      <w:r w:rsidRPr="004B47A0">
        <w:rPr>
          <w:sz w:val="24"/>
        </w:rPr>
        <w:tab/>
        <w:t xml:space="preserve">1.4. </w:t>
      </w:r>
      <w:r w:rsidR="00D42373" w:rsidRPr="004B47A0">
        <w:rPr>
          <w:sz w:val="24"/>
        </w:rPr>
        <w:t>Для каждого вида доходов применяется один из следующих методов (комбинация следующих методов) расчета:</w:t>
      </w:r>
    </w:p>
    <w:p w:rsidR="00D42373" w:rsidRPr="004B47A0" w:rsidRDefault="00D42373" w:rsidP="00D42373">
      <w:pPr>
        <w:adjustRightInd w:val="0"/>
        <w:ind w:firstLine="540"/>
        <w:jc w:val="both"/>
        <w:rPr>
          <w:rFonts w:eastAsiaTheme="minorHAnsi"/>
          <w:bCs/>
          <w:sz w:val="24"/>
          <w:szCs w:val="24"/>
          <w:lang w:eastAsia="en-US"/>
        </w:rPr>
      </w:pPr>
      <w:r w:rsidRPr="004B47A0">
        <w:rPr>
          <w:rFonts w:eastAsiaTheme="minorHAnsi"/>
          <w:bCs/>
          <w:sz w:val="24"/>
          <w:szCs w:val="24"/>
          <w:lang w:eastAsia="en-US"/>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352D4" w:rsidRDefault="00D42373" w:rsidP="000352D4">
      <w:pPr>
        <w:adjustRightInd w:val="0"/>
        <w:ind w:firstLine="540"/>
        <w:jc w:val="both"/>
        <w:rPr>
          <w:rFonts w:eastAsiaTheme="minorHAnsi"/>
          <w:bCs/>
          <w:sz w:val="24"/>
          <w:szCs w:val="24"/>
          <w:lang w:eastAsia="en-US"/>
        </w:rPr>
      </w:pPr>
      <w:r w:rsidRPr="004B47A0">
        <w:rPr>
          <w:rFonts w:eastAsiaTheme="minorHAnsi"/>
          <w:bCs/>
          <w:sz w:val="24"/>
          <w:szCs w:val="24"/>
          <w:lang w:eastAsia="en-US"/>
        </w:rPr>
        <w:t xml:space="preserve">-   усреднение - расчет на основании </w:t>
      </w:r>
      <w:proofErr w:type="gramStart"/>
      <w:r w:rsidRPr="004B47A0">
        <w:rPr>
          <w:rFonts w:eastAsiaTheme="minorHAnsi"/>
          <w:bCs/>
          <w:sz w:val="24"/>
          <w:szCs w:val="24"/>
          <w:lang w:eastAsia="en-US"/>
        </w:rPr>
        <w:t>усреднения годовых объемов доходов бюджетов бюджетной системы Российской Федерации</w:t>
      </w:r>
      <w:proofErr w:type="gramEnd"/>
      <w:r w:rsidRPr="004B47A0">
        <w:rPr>
          <w:rFonts w:eastAsiaTheme="minorHAnsi"/>
          <w:bCs/>
          <w:sz w:val="24"/>
          <w:szCs w:val="24"/>
          <w:lang w:eastAsia="en-US"/>
        </w:rPr>
        <w:t xml:space="preserve"> не менее чем за 3 года или за весь период поступления соответствующего вида доходов в случ</w:t>
      </w:r>
      <w:r w:rsidR="000352D4">
        <w:rPr>
          <w:rFonts w:eastAsiaTheme="minorHAnsi"/>
          <w:bCs/>
          <w:sz w:val="24"/>
          <w:szCs w:val="24"/>
          <w:lang w:eastAsia="en-US"/>
        </w:rPr>
        <w:t>ае, если он не превышает 3 года;</w:t>
      </w:r>
    </w:p>
    <w:p w:rsidR="000352D4" w:rsidRPr="000352D4" w:rsidRDefault="000352D4" w:rsidP="000352D4">
      <w:pPr>
        <w:adjustRightInd w:val="0"/>
        <w:ind w:firstLine="540"/>
        <w:jc w:val="both"/>
        <w:rPr>
          <w:rFonts w:eastAsiaTheme="minorHAnsi"/>
          <w:bCs/>
          <w:sz w:val="24"/>
          <w:szCs w:val="24"/>
          <w:lang w:eastAsia="en-US"/>
        </w:rPr>
      </w:pPr>
      <w:r w:rsidRPr="007B435E">
        <w:rPr>
          <w:sz w:val="24"/>
          <w:szCs w:val="24"/>
        </w:rPr>
        <w:t>- целевой ориентир - используется для прогнозирования целевого уровня поступления конкретного вида доходов.</w:t>
      </w:r>
    </w:p>
    <w:p w:rsidR="00303F22" w:rsidRPr="004B47A0" w:rsidRDefault="00303F22" w:rsidP="00303F22">
      <w:pPr>
        <w:pStyle w:val="ConsPlusNormal"/>
        <w:widowControl w:val="0"/>
        <w:spacing w:before="240"/>
        <w:contextualSpacing/>
        <w:rPr>
          <w:rFonts w:ascii="Times New Roman" w:hAnsi="Times New Roman" w:cs="Times New Roman"/>
          <w:b/>
          <w:sz w:val="24"/>
          <w:szCs w:val="24"/>
        </w:rPr>
        <w:sectPr w:rsidR="00303F22" w:rsidRPr="004B47A0" w:rsidSect="00737671">
          <w:pgSz w:w="11906" w:h="16838"/>
          <w:pgMar w:top="1134" w:right="851" w:bottom="1134" w:left="1701" w:header="709" w:footer="709" w:gutter="0"/>
          <w:cols w:space="708"/>
          <w:docGrid w:linePitch="360"/>
        </w:sectPr>
      </w:pPr>
    </w:p>
    <w:p w:rsidR="00EC4A91" w:rsidRDefault="00EC4A91" w:rsidP="00EC4A91">
      <w:pPr>
        <w:tabs>
          <w:tab w:val="left" w:pos="9356"/>
        </w:tabs>
        <w:ind w:right="-2"/>
        <w:jc w:val="center"/>
        <w:rPr>
          <w:sz w:val="24"/>
          <w:szCs w:val="24"/>
        </w:rPr>
      </w:pPr>
      <w:r>
        <w:rPr>
          <w:sz w:val="24"/>
          <w:szCs w:val="24"/>
        </w:rPr>
        <w:lastRenderedPageBreak/>
        <w:t>2. Прогнозирование доходов в бюджет города Урай</w:t>
      </w:r>
    </w:p>
    <w:p w:rsidR="00EC4A91" w:rsidRDefault="00EC4A91" w:rsidP="00EC4A91">
      <w:pPr>
        <w:tabs>
          <w:tab w:val="left" w:pos="9356"/>
        </w:tabs>
        <w:ind w:right="-2"/>
        <w:jc w:val="both"/>
        <w:rPr>
          <w:sz w:val="24"/>
          <w:szCs w:val="24"/>
        </w:rPr>
      </w:pPr>
    </w:p>
    <w:tbl>
      <w:tblPr>
        <w:tblStyle w:val="a9"/>
        <w:tblW w:w="15904" w:type="dxa"/>
        <w:tblInd w:w="-459" w:type="dxa"/>
        <w:tblLayout w:type="fixed"/>
        <w:tblLook w:val="04A0"/>
      </w:tblPr>
      <w:tblGrid>
        <w:gridCol w:w="426"/>
        <w:gridCol w:w="710"/>
        <w:gridCol w:w="1563"/>
        <w:gridCol w:w="1845"/>
        <w:gridCol w:w="3834"/>
        <w:gridCol w:w="1136"/>
        <w:gridCol w:w="1846"/>
        <w:gridCol w:w="2414"/>
        <w:gridCol w:w="2130"/>
      </w:tblGrid>
      <w:tr w:rsidR="00EC4A91" w:rsidRPr="004B47A0" w:rsidTr="00B13827">
        <w:trPr>
          <w:trHeight w:val="64"/>
        </w:trPr>
        <w:tc>
          <w:tcPr>
            <w:tcW w:w="426" w:type="dxa"/>
          </w:tcPr>
          <w:p w:rsidR="00EC4A91" w:rsidRPr="004B47A0" w:rsidRDefault="00EC4A91" w:rsidP="00B13827">
            <w:pPr>
              <w:pStyle w:val="ConsPlusNormal"/>
              <w:ind w:right="-108"/>
              <w:rPr>
                <w:rFonts w:ascii="Times New Roman" w:hAnsi="Times New Roman" w:cs="Times New Roman"/>
              </w:rPr>
            </w:pPr>
            <w:r w:rsidRPr="004B47A0">
              <w:rPr>
                <w:rFonts w:ascii="Times New Roman" w:hAnsi="Times New Roman" w:cs="Times New Roman"/>
              </w:rPr>
              <w:t xml:space="preserve">№ </w:t>
            </w:r>
            <w:proofErr w:type="spellStart"/>
            <w:proofErr w:type="gramStart"/>
            <w:r w:rsidRPr="004B47A0">
              <w:rPr>
                <w:rFonts w:ascii="Times New Roman" w:hAnsi="Times New Roman" w:cs="Times New Roman"/>
              </w:rPr>
              <w:t>п</w:t>
            </w:r>
            <w:proofErr w:type="spellEnd"/>
            <w:proofErr w:type="gramEnd"/>
            <w:r w:rsidRPr="004B47A0">
              <w:rPr>
                <w:rFonts w:ascii="Times New Roman" w:hAnsi="Times New Roman" w:cs="Times New Roman"/>
              </w:rPr>
              <w:t>/</w:t>
            </w:r>
            <w:proofErr w:type="spellStart"/>
            <w:r w:rsidRPr="004B47A0">
              <w:rPr>
                <w:rFonts w:ascii="Times New Roman" w:hAnsi="Times New Roman" w:cs="Times New Roman"/>
              </w:rPr>
              <w:t>п</w:t>
            </w:r>
            <w:proofErr w:type="spellEnd"/>
          </w:p>
        </w:tc>
        <w:tc>
          <w:tcPr>
            <w:tcW w:w="710" w:type="dxa"/>
          </w:tcPr>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Код главного администратора доходов</w:t>
            </w:r>
          </w:p>
        </w:tc>
        <w:tc>
          <w:tcPr>
            <w:tcW w:w="1563" w:type="dxa"/>
          </w:tcPr>
          <w:p w:rsidR="00EC4A91" w:rsidRPr="004B47A0" w:rsidRDefault="00EC4A91" w:rsidP="00B13827">
            <w:pPr>
              <w:pStyle w:val="ConsPlusNormal"/>
              <w:jc w:val="center"/>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Наименование главного администратора доходов</w:t>
            </w:r>
          </w:p>
        </w:tc>
        <w:tc>
          <w:tcPr>
            <w:tcW w:w="1845" w:type="dxa"/>
          </w:tcPr>
          <w:p w:rsidR="00EC4A91" w:rsidRPr="004B47A0" w:rsidRDefault="00EC4A91" w:rsidP="00B13827">
            <w:pPr>
              <w:pStyle w:val="ConsPlusNormal"/>
              <w:jc w:val="center"/>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КБК</w:t>
            </w:r>
          </w:p>
        </w:tc>
        <w:tc>
          <w:tcPr>
            <w:tcW w:w="3834" w:type="dxa"/>
          </w:tcPr>
          <w:p w:rsidR="00EC4A91" w:rsidRPr="004B47A0" w:rsidRDefault="00EC4A91" w:rsidP="00B13827">
            <w:pPr>
              <w:pStyle w:val="ConsPlusNormal"/>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Наименование КБК доходов</w:t>
            </w:r>
          </w:p>
        </w:tc>
        <w:tc>
          <w:tcPr>
            <w:tcW w:w="1136" w:type="dxa"/>
          </w:tcPr>
          <w:p w:rsidR="00EC4A91" w:rsidRPr="004B47A0" w:rsidRDefault="00EC4A91" w:rsidP="00B13827">
            <w:pPr>
              <w:pStyle w:val="ConsPlusNormal"/>
              <w:ind w:hanging="74"/>
              <w:jc w:val="center"/>
              <w:rPr>
                <w:rFonts w:ascii="Times New Roman" w:hAnsi="Times New Roman" w:cs="Times New Roman"/>
              </w:rPr>
            </w:pPr>
          </w:p>
          <w:p w:rsidR="00EC4A91" w:rsidRPr="004B47A0" w:rsidRDefault="00EC4A91" w:rsidP="00B13827">
            <w:pPr>
              <w:pStyle w:val="ConsPlusNormal"/>
              <w:ind w:right="39"/>
              <w:jc w:val="center"/>
              <w:rPr>
                <w:rFonts w:ascii="Times New Roman" w:hAnsi="Times New Roman" w:cs="Times New Roman"/>
              </w:rPr>
            </w:pPr>
            <w:r w:rsidRPr="004B47A0">
              <w:rPr>
                <w:rFonts w:ascii="Times New Roman" w:hAnsi="Times New Roman" w:cs="Times New Roman"/>
              </w:rPr>
              <w:t>Наименование метода расчета</w:t>
            </w:r>
          </w:p>
        </w:tc>
        <w:tc>
          <w:tcPr>
            <w:tcW w:w="1846" w:type="dxa"/>
          </w:tcPr>
          <w:p w:rsidR="00EC4A91" w:rsidRPr="004B47A0" w:rsidRDefault="00EC4A91" w:rsidP="00B13827">
            <w:pPr>
              <w:pStyle w:val="ConsPlusNormal"/>
              <w:jc w:val="center"/>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Формула расчета</w:t>
            </w:r>
          </w:p>
        </w:tc>
        <w:tc>
          <w:tcPr>
            <w:tcW w:w="2414" w:type="dxa"/>
          </w:tcPr>
          <w:p w:rsidR="00EC4A91" w:rsidRPr="004B47A0" w:rsidRDefault="00EC4A91" w:rsidP="00B13827">
            <w:pPr>
              <w:pStyle w:val="ConsPlusNormal"/>
              <w:jc w:val="center"/>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Алгоритм расчета</w:t>
            </w:r>
          </w:p>
        </w:tc>
        <w:tc>
          <w:tcPr>
            <w:tcW w:w="2130" w:type="dxa"/>
          </w:tcPr>
          <w:p w:rsidR="00EC4A91" w:rsidRPr="004B47A0" w:rsidRDefault="00EC4A91" w:rsidP="00B13827">
            <w:pPr>
              <w:pStyle w:val="ConsPlusNormal"/>
              <w:jc w:val="center"/>
              <w:rPr>
                <w:rFonts w:ascii="Times New Roman" w:hAnsi="Times New Roman" w:cs="Times New Roman"/>
              </w:rPr>
            </w:pPr>
          </w:p>
          <w:p w:rsidR="00EC4A91" w:rsidRPr="004B47A0" w:rsidRDefault="00EC4A91" w:rsidP="00B13827">
            <w:pPr>
              <w:pStyle w:val="ConsPlusNormal"/>
              <w:jc w:val="center"/>
              <w:rPr>
                <w:rFonts w:ascii="Times New Roman" w:hAnsi="Times New Roman" w:cs="Times New Roman"/>
              </w:rPr>
            </w:pPr>
            <w:r w:rsidRPr="004B47A0">
              <w:rPr>
                <w:rFonts w:ascii="Times New Roman" w:hAnsi="Times New Roman" w:cs="Times New Roman"/>
              </w:rPr>
              <w:t>Описание показателей</w:t>
            </w: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1</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11701040040000180</w:t>
            </w:r>
          </w:p>
        </w:tc>
        <w:tc>
          <w:tcPr>
            <w:tcW w:w="3834"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Невыясненные поступления, зачисляемые в бюджеты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целевой ориентир</w:t>
            </w:r>
          </w:p>
        </w:tc>
        <w:tc>
          <w:tcPr>
            <w:tcW w:w="1846" w:type="dxa"/>
          </w:tcPr>
          <w:p w:rsidR="00EC4A91" w:rsidRPr="002673E7" w:rsidRDefault="00EC4A91" w:rsidP="00B13827">
            <w:pPr>
              <w:pStyle w:val="ConsPlusNormal"/>
              <w:rPr>
                <w:rFonts w:ascii="Times New Roman" w:hAnsi="Times New Roman" w:cs="Times New Roman"/>
                <w:sz w:val="18"/>
                <w:szCs w:val="18"/>
              </w:rPr>
            </w:pPr>
            <w:r w:rsidRPr="002673E7">
              <w:rPr>
                <w:rFonts w:ascii="Times New Roman" w:hAnsi="Times New Roman" w:cs="Times New Roman"/>
                <w:sz w:val="18"/>
                <w:szCs w:val="18"/>
              </w:rPr>
              <w:t xml:space="preserve">НП = </w:t>
            </w:r>
            <w:proofErr w:type="spellStart"/>
            <w:r w:rsidRPr="002673E7">
              <w:rPr>
                <w:rFonts w:ascii="Times New Roman" w:hAnsi="Times New Roman" w:cs="Times New Roman"/>
                <w:sz w:val="18"/>
                <w:szCs w:val="18"/>
              </w:rPr>
              <w:t>ЦОнп</w:t>
            </w:r>
            <w:proofErr w:type="spellEnd"/>
          </w:p>
        </w:tc>
        <w:tc>
          <w:tcPr>
            <w:tcW w:w="2414" w:type="dxa"/>
          </w:tcPr>
          <w:p w:rsidR="00EC4A91" w:rsidRPr="002673E7" w:rsidRDefault="00EC4A91" w:rsidP="00B13827">
            <w:pPr>
              <w:pStyle w:val="ConsPlusNormal"/>
              <w:rPr>
                <w:rFonts w:ascii="Times New Roman" w:hAnsi="Times New Roman" w:cs="Times New Roman"/>
                <w:sz w:val="18"/>
                <w:szCs w:val="18"/>
              </w:rPr>
            </w:pPr>
            <w:r w:rsidRPr="002673E7">
              <w:rPr>
                <w:rFonts w:ascii="Times New Roman" w:hAnsi="Times New Roman" w:cs="Times New Roman"/>
                <w:sz w:val="18"/>
                <w:szCs w:val="18"/>
              </w:rPr>
              <w:t>Показатель, используемый для расчета прогнозного объема поступлений - целевой ориентир поступления невыясненных пос</w:t>
            </w:r>
            <w:r>
              <w:rPr>
                <w:rFonts w:ascii="Times New Roman" w:hAnsi="Times New Roman" w:cs="Times New Roman"/>
                <w:sz w:val="18"/>
                <w:szCs w:val="18"/>
              </w:rPr>
              <w:t xml:space="preserve">туплений, зачисляемых в бюджеты </w:t>
            </w:r>
            <w:r w:rsidRPr="002673E7">
              <w:rPr>
                <w:rFonts w:ascii="Times New Roman" w:hAnsi="Times New Roman" w:cs="Times New Roman"/>
                <w:sz w:val="18"/>
                <w:szCs w:val="18"/>
              </w:rPr>
              <w:t>городских округов.</w:t>
            </w:r>
            <w:r>
              <w:rPr>
                <w:rFonts w:ascii="Times New Roman" w:hAnsi="Times New Roman" w:cs="Times New Roman"/>
                <w:sz w:val="18"/>
                <w:szCs w:val="18"/>
              </w:rPr>
              <w:t xml:space="preserve"> </w:t>
            </w:r>
            <w:r w:rsidRPr="002673E7">
              <w:rPr>
                <w:rFonts w:ascii="Times New Roman" w:hAnsi="Times New Roman" w:cs="Times New Roman"/>
                <w:sz w:val="18"/>
                <w:szCs w:val="18"/>
              </w:rPr>
              <w:t xml:space="preserve">Целевой ориентир поступления в бюджет города невыясненных поступлений, зачисляемых в </w:t>
            </w:r>
            <w:r>
              <w:rPr>
                <w:rFonts w:ascii="Times New Roman" w:hAnsi="Times New Roman" w:cs="Times New Roman"/>
                <w:sz w:val="18"/>
                <w:szCs w:val="18"/>
              </w:rPr>
              <w:t xml:space="preserve">бюджеты </w:t>
            </w:r>
            <w:r w:rsidRPr="002673E7">
              <w:rPr>
                <w:rFonts w:ascii="Times New Roman" w:hAnsi="Times New Roman" w:cs="Times New Roman"/>
                <w:sz w:val="18"/>
                <w:szCs w:val="18"/>
              </w:rPr>
              <w:t>городских округов, равен 0</w:t>
            </w:r>
            <w:r>
              <w:rPr>
                <w:rFonts w:ascii="Times New Roman" w:hAnsi="Times New Roman" w:cs="Times New Roman"/>
                <w:sz w:val="18"/>
                <w:szCs w:val="18"/>
              </w:rPr>
              <w:t>.</w:t>
            </w:r>
          </w:p>
        </w:tc>
        <w:tc>
          <w:tcPr>
            <w:tcW w:w="2130" w:type="dxa"/>
          </w:tcPr>
          <w:p w:rsidR="00EC4A91" w:rsidRPr="002673E7" w:rsidRDefault="00EC4A91" w:rsidP="00B13827">
            <w:pPr>
              <w:pStyle w:val="ConsPlusNormal"/>
              <w:spacing w:before="240"/>
              <w:contextualSpacing/>
              <w:rPr>
                <w:rFonts w:ascii="Times New Roman" w:hAnsi="Times New Roman" w:cs="Times New Roman"/>
                <w:sz w:val="18"/>
                <w:szCs w:val="18"/>
              </w:rPr>
            </w:pPr>
            <w:proofErr w:type="spellStart"/>
            <w:r w:rsidRPr="002673E7">
              <w:rPr>
                <w:rFonts w:ascii="Times New Roman" w:hAnsi="Times New Roman" w:cs="Times New Roman"/>
                <w:sz w:val="18"/>
                <w:szCs w:val="18"/>
              </w:rPr>
              <w:t>ЦОнп</w:t>
            </w:r>
            <w:proofErr w:type="spellEnd"/>
            <w:r w:rsidRPr="002673E7">
              <w:rPr>
                <w:rFonts w:ascii="Times New Roman" w:hAnsi="Times New Roman" w:cs="Times New Roman"/>
                <w:sz w:val="18"/>
                <w:szCs w:val="18"/>
              </w:rPr>
              <w:t xml:space="preserve"> - целевой ориентир поступления в бюджет города невыясненных поступлений, зачисляемых в бюджеты городских округов</w:t>
            </w:r>
            <w:r>
              <w:rPr>
                <w:rFonts w:ascii="Times New Roman" w:hAnsi="Times New Roman" w:cs="Times New Roman"/>
                <w:sz w:val="18"/>
                <w:szCs w:val="18"/>
              </w:rPr>
              <w:t>.</w:t>
            </w: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2</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11705040040000</w:t>
            </w:r>
            <w:r w:rsidRPr="004B47A0">
              <w:rPr>
                <w:rFonts w:ascii="Times New Roman" w:hAnsi="Times New Roman" w:cs="Times New Roman"/>
                <w:sz w:val="18"/>
                <w:szCs w:val="18"/>
              </w:rPr>
              <w:t>180</w:t>
            </w:r>
          </w:p>
        </w:tc>
        <w:tc>
          <w:tcPr>
            <w:tcW w:w="3834"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Прочие неналоговые доходы бюджетов городских округов</w:t>
            </w:r>
          </w:p>
        </w:tc>
        <w:tc>
          <w:tcPr>
            <w:tcW w:w="113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усреднение</w:t>
            </w:r>
          </w:p>
        </w:tc>
        <w:tc>
          <w:tcPr>
            <w:tcW w:w="1846" w:type="dxa"/>
          </w:tcPr>
          <w:p w:rsidR="00EC4A91" w:rsidRPr="004B47A0" w:rsidRDefault="00EC4A91" w:rsidP="00B13827">
            <w:pPr>
              <w:adjustRightInd w:val="0"/>
              <w:rPr>
                <w:sz w:val="18"/>
                <w:szCs w:val="18"/>
              </w:rPr>
            </w:pPr>
            <w:r w:rsidRPr="004B47A0">
              <w:rPr>
                <w:sz w:val="18"/>
                <w:szCs w:val="18"/>
              </w:rPr>
              <w:t xml:space="preserve">         к</w:t>
            </w:r>
          </w:p>
          <w:p w:rsidR="00EC4A91" w:rsidRPr="004B47A0" w:rsidRDefault="00EC4A91" w:rsidP="00B13827">
            <w:pPr>
              <w:adjustRightInd w:val="0"/>
              <w:rPr>
                <w:sz w:val="18"/>
                <w:szCs w:val="18"/>
              </w:rPr>
            </w:pPr>
            <w:proofErr w:type="spellStart"/>
            <w:r w:rsidRPr="004B47A0">
              <w:rPr>
                <w:sz w:val="18"/>
                <w:szCs w:val="18"/>
              </w:rPr>
              <w:t>Дс=</w:t>
            </w:r>
            <w:proofErr w:type="spellEnd"/>
            <w:r w:rsidRPr="004B47A0">
              <w:rPr>
                <w:sz w:val="18"/>
                <w:szCs w:val="18"/>
              </w:rPr>
              <w:t xml:space="preserve">(∑ </w:t>
            </w:r>
            <w:proofErr w:type="spellStart"/>
            <w:r w:rsidRPr="004B47A0">
              <w:rPr>
                <w:sz w:val="18"/>
                <w:szCs w:val="18"/>
              </w:rPr>
              <w:t>Дф</w:t>
            </w:r>
            <w:proofErr w:type="spellEnd"/>
            <w:r w:rsidRPr="004B47A0">
              <w:rPr>
                <w:sz w:val="18"/>
                <w:szCs w:val="18"/>
              </w:rPr>
              <w:t>/к) ±ПК</w:t>
            </w:r>
          </w:p>
          <w:p w:rsidR="00EC4A91" w:rsidRPr="004B47A0" w:rsidRDefault="00EC4A91" w:rsidP="00B13827">
            <w:pPr>
              <w:adjustRightInd w:val="0"/>
              <w:rPr>
                <w:sz w:val="18"/>
                <w:szCs w:val="18"/>
              </w:rPr>
            </w:pPr>
            <w:r w:rsidRPr="004B47A0">
              <w:rPr>
                <w:sz w:val="18"/>
                <w:szCs w:val="18"/>
              </w:rPr>
              <w:t xml:space="preserve">       </w:t>
            </w:r>
            <w:proofErr w:type="spellStart"/>
            <w:r w:rsidRPr="004B47A0">
              <w:rPr>
                <w:sz w:val="18"/>
                <w:szCs w:val="18"/>
                <w:lang w:val="en-US"/>
              </w:rPr>
              <w:t>i</w:t>
            </w:r>
            <w:proofErr w:type="spellEnd"/>
            <w:r w:rsidRPr="004B47A0">
              <w:rPr>
                <w:sz w:val="18"/>
                <w:szCs w:val="18"/>
              </w:rPr>
              <w:t>=1</w:t>
            </w:r>
          </w:p>
          <w:p w:rsidR="00EC4A91" w:rsidRPr="004B47A0" w:rsidRDefault="00EC4A91" w:rsidP="00B13827">
            <w:pPr>
              <w:pStyle w:val="ConsPlusNormal"/>
              <w:widowControl w:val="0"/>
              <w:contextualSpacing/>
              <w:rPr>
                <w:rFonts w:ascii="Times New Roman" w:hAnsi="Times New Roman" w:cs="Times New Roman"/>
                <w:sz w:val="18"/>
                <w:szCs w:val="18"/>
              </w:rPr>
            </w:pPr>
          </w:p>
        </w:tc>
        <w:tc>
          <w:tcPr>
            <w:tcW w:w="2414" w:type="dxa"/>
          </w:tcPr>
          <w:p w:rsidR="00EC4A91" w:rsidRPr="004B47A0" w:rsidRDefault="00EC4A91" w:rsidP="00B13827">
            <w:pPr>
              <w:adjustRightInd w:val="0"/>
              <w:rPr>
                <w:sz w:val="18"/>
                <w:szCs w:val="18"/>
              </w:rPr>
            </w:pPr>
            <w:r w:rsidRPr="004B47A0">
              <w:rPr>
                <w:sz w:val="18"/>
                <w:szCs w:val="18"/>
              </w:rPr>
              <w:t>Данный вид доходов относится к категории не подлежащих объективному прогнозированию, не имеет постоянного характера поступлений.</w:t>
            </w:r>
          </w:p>
          <w:p w:rsidR="00EC4A91" w:rsidRPr="004B47A0" w:rsidRDefault="00EC4A91" w:rsidP="00B13827">
            <w:pPr>
              <w:adjustRightInd w:val="0"/>
              <w:rPr>
                <w:sz w:val="18"/>
                <w:szCs w:val="18"/>
              </w:rPr>
            </w:pPr>
            <w:r w:rsidRPr="004B47A0">
              <w:rPr>
                <w:sz w:val="18"/>
                <w:szCs w:val="18"/>
              </w:rPr>
              <w:t>Прогнозирование показателей (</w:t>
            </w:r>
            <w:proofErr w:type="spellStart"/>
            <w:r w:rsidRPr="004B47A0">
              <w:rPr>
                <w:sz w:val="18"/>
                <w:szCs w:val="18"/>
              </w:rPr>
              <w:t>Дс</w:t>
            </w:r>
            <w:proofErr w:type="spellEnd"/>
            <w:r w:rsidRPr="004B47A0">
              <w:rPr>
                <w:sz w:val="18"/>
                <w:szCs w:val="18"/>
              </w:rPr>
              <w:t>) поступлений по данному виду доходов на очередной финансовый год и плановый период рассчитывается на основе бухгалтерских данных (реестр платежей).</w:t>
            </w:r>
          </w:p>
          <w:p w:rsidR="00EC4A91" w:rsidRPr="004B47A0" w:rsidRDefault="00EC4A91" w:rsidP="00B13827">
            <w:pPr>
              <w:adjustRightInd w:val="0"/>
              <w:ind w:firstLine="708"/>
              <w:rPr>
                <w:sz w:val="18"/>
                <w:szCs w:val="18"/>
              </w:rPr>
            </w:pPr>
          </w:p>
          <w:p w:rsidR="00EC4A91" w:rsidRPr="004B47A0" w:rsidRDefault="00EC4A91" w:rsidP="00B13827">
            <w:pPr>
              <w:pStyle w:val="ConsPlusNormal"/>
              <w:widowControl w:val="0"/>
              <w:contextualSpacing/>
              <w:rPr>
                <w:rFonts w:ascii="Times New Roman" w:hAnsi="Times New Roman" w:cs="Times New Roman"/>
                <w:sz w:val="18"/>
                <w:szCs w:val="18"/>
              </w:rPr>
            </w:pPr>
          </w:p>
        </w:tc>
        <w:tc>
          <w:tcPr>
            <w:tcW w:w="2130" w:type="dxa"/>
          </w:tcPr>
          <w:p w:rsidR="00EC4A91" w:rsidRPr="004B47A0" w:rsidRDefault="00EC4A91" w:rsidP="00B13827">
            <w:pPr>
              <w:adjustRightInd w:val="0"/>
              <w:rPr>
                <w:sz w:val="18"/>
                <w:szCs w:val="18"/>
              </w:rPr>
            </w:pPr>
            <w:r w:rsidRPr="004B47A0">
              <w:rPr>
                <w:sz w:val="18"/>
                <w:szCs w:val="18"/>
              </w:rPr>
              <w:t xml:space="preserve">к - количество отчетных периодов (не менее 3-х лет, предшествующих прогнозируемому периоду, или весь период поступления доходов в </w:t>
            </w:r>
            <w:proofErr w:type="gramStart"/>
            <w:r w:rsidRPr="004B47A0">
              <w:rPr>
                <w:sz w:val="18"/>
                <w:szCs w:val="18"/>
              </w:rPr>
              <w:t>случае</w:t>
            </w:r>
            <w:proofErr w:type="gramEnd"/>
            <w:r w:rsidRPr="004B47A0">
              <w:rPr>
                <w:sz w:val="18"/>
                <w:szCs w:val="18"/>
              </w:rPr>
              <w:t>, если он не превышает 3 года);</w:t>
            </w:r>
          </w:p>
          <w:p w:rsidR="00EC4A91" w:rsidRPr="004B47A0" w:rsidRDefault="00EC4A91" w:rsidP="00B13827">
            <w:pPr>
              <w:adjustRightInd w:val="0"/>
              <w:rPr>
                <w:sz w:val="18"/>
                <w:szCs w:val="18"/>
              </w:rPr>
            </w:pPr>
            <w:proofErr w:type="spellStart"/>
            <w:r w:rsidRPr="004B47A0">
              <w:rPr>
                <w:sz w:val="18"/>
                <w:szCs w:val="18"/>
              </w:rPr>
              <w:t>Дф</w:t>
            </w:r>
            <w:proofErr w:type="spellEnd"/>
            <w:r w:rsidRPr="004B47A0">
              <w:rPr>
                <w:sz w:val="18"/>
                <w:szCs w:val="18"/>
              </w:rPr>
              <w:t xml:space="preserve"> - фактические доходы за отчетный период;</w:t>
            </w:r>
          </w:p>
          <w:p w:rsidR="00EC4A91" w:rsidRPr="004B47A0" w:rsidRDefault="00EC4A91" w:rsidP="00B13827">
            <w:pPr>
              <w:adjustRightInd w:val="0"/>
              <w:rPr>
                <w:sz w:val="18"/>
                <w:szCs w:val="18"/>
              </w:rPr>
            </w:pPr>
            <w:proofErr w:type="spellStart"/>
            <w:r w:rsidRPr="004B47A0">
              <w:rPr>
                <w:sz w:val="18"/>
                <w:szCs w:val="18"/>
              </w:rPr>
              <w:t>Пк</w:t>
            </w:r>
            <w:proofErr w:type="spellEnd"/>
            <w:r w:rsidRPr="004B47A0">
              <w:rPr>
                <w:sz w:val="18"/>
                <w:szCs w:val="18"/>
              </w:rPr>
              <w:t xml:space="preserve"> - показатель корректировки, позволяющий скорректировать  плановые назначения показателя доходов, дополнительные</w:t>
            </w:r>
            <w:proofErr w:type="gramStart"/>
            <w:r w:rsidRPr="004B47A0">
              <w:rPr>
                <w:sz w:val="18"/>
                <w:szCs w:val="18"/>
              </w:rPr>
              <w:t xml:space="preserve"> (+) </w:t>
            </w:r>
            <w:proofErr w:type="gramEnd"/>
            <w:r w:rsidRPr="004B47A0">
              <w:rPr>
                <w:sz w:val="18"/>
                <w:szCs w:val="18"/>
              </w:rPr>
              <w:t>или выпадающие (-) доходы.</w:t>
            </w: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lastRenderedPageBreak/>
              <w:t>3</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20215001040000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val="restart"/>
          </w:tcPr>
          <w:p w:rsidR="00EC4A91" w:rsidRPr="00E33F13" w:rsidRDefault="00EC4A91" w:rsidP="00B13827">
            <w:pPr>
              <w:rPr>
                <w:sz w:val="18"/>
                <w:szCs w:val="18"/>
              </w:rPr>
            </w:pPr>
            <w:proofErr w:type="gramStart"/>
            <w:r w:rsidRPr="00E33F13">
              <w:rPr>
                <w:sz w:val="18"/>
                <w:szCs w:val="18"/>
              </w:rPr>
              <w:t xml:space="preserve">Прогнозирование безвозмездных поступлений в виде дотаций, субсидий, субвенций и иных межбюджетных трансфертов в бюджет города Урай осуществляется по каждому коду бюджетной классификации безвозмездных поступлений от других бюджетов бюджетной системы Российской Федерации, закрепленному за Комитетом по финансам администрации города Урай приказом Комитета по финансам администрации города Урай «О полномочиях главного администратора доходов бюджета городского округа Урай Ханты-Мансийского автономного округа - </w:t>
            </w:r>
            <w:proofErr w:type="spellStart"/>
            <w:r w:rsidRPr="00E33F13">
              <w:rPr>
                <w:sz w:val="18"/>
                <w:szCs w:val="18"/>
              </w:rPr>
              <w:t>Югры</w:t>
            </w:r>
            <w:proofErr w:type="spellEnd"/>
            <w:r w:rsidRPr="00E33F13">
              <w:rPr>
                <w:sz w:val="18"/>
                <w:szCs w:val="18"/>
              </w:rPr>
              <w:t xml:space="preserve">». </w:t>
            </w:r>
            <w:proofErr w:type="gramEnd"/>
          </w:p>
          <w:p w:rsidR="00EC4A91" w:rsidRPr="00E33F13" w:rsidRDefault="00EC4A91" w:rsidP="00B13827">
            <w:pPr>
              <w:rPr>
                <w:sz w:val="18"/>
                <w:szCs w:val="18"/>
              </w:rPr>
            </w:pPr>
          </w:p>
          <w:p w:rsidR="00EC4A91" w:rsidRPr="00E33F13" w:rsidRDefault="00EC4A91" w:rsidP="00B13827">
            <w:pPr>
              <w:pStyle w:val="ConsPlusNormal"/>
              <w:rPr>
                <w:rFonts w:ascii="Times New Roman" w:hAnsi="Times New Roman" w:cs="Times New Roman"/>
                <w:sz w:val="18"/>
                <w:szCs w:val="18"/>
              </w:rPr>
            </w:pPr>
            <w:r w:rsidRPr="00E33F13">
              <w:rPr>
                <w:rFonts w:ascii="Times New Roman" w:hAnsi="Times New Roman" w:cs="Times New Roman"/>
                <w:sz w:val="18"/>
                <w:szCs w:val="18"/>
              </w:rPr>
              <w:t>Прогнозные объемы безвозмездных поступлений от других бюджетов бюджетной системы Российской Федерации определяются на основании:</w:t>
            </w:r>
          </w:p>
          <w:p w:rsidR="00EC4A91" w:rsidRPr="00E33F13" w:rsidRDefault="00EC4A91" w:rsidP="00B13827">
            <w:pPr>
              <w:pStyle w:val="ConsPlusNormal"/>
              <w:rPr>
                <w:rFonts w:ascii="Times New Roman" w:hAnsi="Times New Roman" w:cs="Times New Roman"/>
                <w:sz w:val="18"/>
                <w:szCs w:val="18"/>
              </w:rPr>
            </w:pPr>
          </w:p>
          <w:p w:rsidR="00EC4A91" w:rsidRPr="00E33F13" w:rsidRDefault="00EC4A91" w:rsidP="00B13827">
            <w:pPr>
              <w:pStyle w:val="ConsPlusNormal"/>
              <w:rPr>
                <w:rFonts w:ascii="Times New Roman" w:hAnsi="Times New Roman" w:cs="Times New Roman"/>
                <w:sz w:val="18"/>
                <w:szCs w:val="18"/>
              </w:rPr>
            </w:pPr>
            <w:r w:rsidRPr="00E33F13">
              <w:rPr>
                <w:rFonts w:ascii="Times New Roman" w:hAnsi="Times New Roman" w:cs="Times New Roman"/>
                <w:sz w:val="18"/>
                <w:szCs w:val="18"/>
              </w:rPr>
              <w:t xml:space="preserve">- доведенных объемов межбюджетных трансфертов Департаментом финансов  Ханты-Мансийского автономного округа - </w:t>
            </w:r>
            <w:proofErr w:type="spellStart"/>
            <w:r w:rsidRPr="00E33F13">
              <w:rPr>
                <w:rFonts w:ascii="Times New Roman" w:hAnsi="Times New Roman" w:cs="Times New Roman"/>
                <w:sz w:val="18"/>
                <w:szCs w:val="18"/>
              </w:rPr>
              <w:t>Югры</w:t>
            </w:r>
            <w:proofErr w:type="spellEnd"/>
            <w:r w:rsidRPr="00E33F13">
              <w:rPr>
                <w:rFonts w:ascii="Times New Roman" w:hAnsi="Times New Roman" w:cs="Times New Roman"/>
                <w:sz w:val="18"/>
                <w:szCs w:val="18"/>
              </w:rPr>
              <w:t xml:space="preserve"> в </w:t>
            </w:r>
            <w:proofErr w:type="gramStart"/>
            <w:r w:rsidRPr="00E33F13">
              <w:rPr>
                <w:rFonts w:ascii="Times New Roman" w:hAnsi="Times New Roman" w:cs="Times New Roman"/>
                <w:sz w:val="18"/>
                <w:szCs w:val="18"/>
              </w:rPr>
              <w:t>соответствии</w:t>
            </w:r>
            <w:proofErr w:type="gramEnd"/>
            <w:r w:rsidRPr="00E33F13">
              <w:rPr>
                <w:rFonts w:ascii="Times New Roman" w:hAnsi="Times New Roman" w:cs="Times New Roman"/>
                <w:sz w:val="18"/>
                <w:szCs w:val="18"/>
              </w:rPr>
              <w:t xml:space="preserve"> с Порядком составления проекта Закона «О бюджете Ханты-Мансийского автономного округа - </w:t>
            </w:r>
            <w:proofErr w:type="spellStart"/>
            <w:r w:rsidRPr="00E33F13">
              <w:rPr>
                <w:rFonts w:ascii="Times New Roman" w:hAnsi="Times New Roman" w:cs="Times New Roman"/>
                <w:sz w:val="18"/>
                <w:szCs w:val="18"/>
              </w:rPr>
              <w:t>Югры</w:t>
            </w:r>
            <w:proofErr w:type="spellEnd"/>
            <w:r w:rsidRPr="00E33F13">
              <w:rPr>
                <w:rFonts w:ascii="Times New Roman" w:hAnsi="Times New Roman" w:cs="Times New Roman"/>
                <w:sz w:val="18"/>
                <w:szCs w:val="18"/>
              </w:rPr>
              <w:t xml:space="preserve"> на очередной финансовый год и на плановый период»;</w:t>
            </w:r>
          </w:p>
          <w:p w:rsidR="00EC4A91" w:rsidRPr="00E33F13" w:rsidRDefault="00EC4A91" w:rsidP="00B13827">
            <w:pPr>
              <w:pStyle w:val="ConsPlusNormal"/>
              <w:rPr>
                <w:rFonts w:ascii="Times New Roman" w:hAnsi="Times New Roman" w:cs="Times New Roman"/>
                <w:sz w:val="18"/>
                <w:szCs w:val="18"/>
              </w:rPr>
            </w:pPr>
          </w:p>
          <w:p w:rsidR="00EC4A91" w:rsidRPr="00E33F13" w:rsidRDefault="00EC4A91" w:rsidP="00B13827">
            <w:pPr>
              <w:pStyle w:val="ConsPlusNormal"/>
              <w:rPr>
                <w:rFonts w:ascii="Times New Roman" w:hAnsi="Times New Roman" w:cs="Times New Roman"/>
                <w:sz w:val="18"/>
                <w:szCs w:val="18"/>
              </w:rPr>
            </w:pPr>
            <w:r w:rsidRPr="00E33F13">
              <w:rPr>
                <w:rFonts w:ascii="Times New Roman" w:hAnsi="Times New Roman" w:cs="Times New Roman"/>
                <w:sz w:val="18"/>
                <w:szCs w:val="18"/>
              </w:rPr>
              <w:t xml:space="preserve">- нормативных правовых актов субъектов Российской Федерации, устанавливающих порядок предоставления межбюджетных трансфертов бюджетам городских округов Ханты-Мансийского автономного округа - </w:t>
            </w:r>
            <w:proofErr w:type="spellStart"/>
            <w:r w:rsidRPr="00E33F13">
              <w:rPr>
                <w:rFonts w:ascii="Times New Roman" w:hAnsi="Times New Roman" w:cs="Times New Roman"/>
                <w:sz w:val="18"/>
                <w:szCs w:val="18"/>
              </w:rPr>
              <w:t>Югры</w:t>
            </w:r>
            <w:proofErr w:type="spellEnd"/>
            <w:r w:rsidRPr="00E33F13">
              <w:rPr>
                <w:rFonts w:ascii="Times New Roman" w:hAnsi="Times New Roman" w:cs="Times New Roman"/>
                <w:sz w:val="18"/>
                <w:szCs w:val="18"/>
              </w:rPr>
              <w:t>;</w:t>
            </w:r>
          </w:p>
          <w:p w:rsidR="00EC4A91" w:rsidRPr="00E33F13" w:rsidRDefault="00EC4A91" w:rsidP="00B13827">
            <w:pPr>
              <w:pStyle w:val="ConsPlusNormal"/>
              <w:rPr>
                <w:rFonts w:ascii="Times New Roman" w:hAnsi="Times New Roman" w:cs="Times New Roman"/>
                <w:sz w:val="18"/>
                <w:szCs w:val="18"/>
              </w:rPr>
            </w:pPr>
          </w:p>
          <w:p w:rsidR="00EC4A91" w:rsidRPr="00E33F13" w:rsidRDefault="00EC4A91" w:rsidP="00B13827">
            <w:pPr>
              <w:pStyle w:val="ConsPlusNormal"/>
              <w:rPr>
                <w:rFonts w:ascii="Times New Roman" w:hAnsi="Times New Roman" w:cs="Times New Roman"/>
                <w:sz w:val="18"/>
                <w:szCs w:val="18"/>
              </w:rPr>
            </w:pPr>
            <w:r w:rsidRPr="00E33F13">
              <w:rPr>
                <w:rFonts w:ascii="Times New Roman" w:hAnsi="Times New Roman" w:cs="Times New Roman"/>
                <w:sz w:val="18"/>
                <w:szCs w:val="18"/>
              </w:rPr>
              <w:t xml:space="preserve">- соглашений, заключенных с органами государственной власти Ханты-Мансийского автономного округа - </w:t>
            </w:r>
            <w:proofErr w:type="spellStart"/>
            <w:r w:rsidRPr="00E33F13">
              <w:rPr>
                <w:rFonts w:ascii="Times New Roman" w:hAnsi="Times New Roman" w:cs="Times New Roman"/>
                <w:sz w:val="18"/>
                <w:szCs w:val="18"/>
              </w:rPr>
              <w:t>Югры</w:t>
            </w:r>
            <w:proofErr w:type="spellEnd"/>
            <w:r w:rsidRPr="00E33F13">
              <w:rPr>
                <w:rFonts w:ascii="Times New Roman" w:hAnsi="Times New Roman" w:cs="Times New Roman"/>
                <w:sz w:val="18"/>
                <w:szCs w:val="18"/>
              </w:rPr>
              <w:t>, о предоставлении межбюджетных трансфертов.</w:t>
            </w:r>
          </w:p>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4</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20215002040000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поддержку мер по обеспечению сбалансированности бюджетов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5</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20215009040000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6</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20219999040000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дотации бюджетам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7</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20220041040000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8</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20220077040000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w:t>
            </w:r>
            <w:proofErr w:type="spellStart"/>
            <w:r w:rsidRPr="004B47A0">
              <w:rPr>
                <w:rFonts w:ascii="Times New Roman" w:hAnsi="Times New Roman" w:cs="Times New Roman"/>
                <w:sz w:val="18"/>
                <w:szCs w:val="18"/>
              </w:rPr>
              <w:t>софинансирование</w:t>
            </w:r>
            <w:proofErr w:type="spellEnd"/>
            <w:r w:rsidRPr="004B47A0">
              <w:rPr>
                <w:rFonts w:ascii="Times New Roman" w:hAnsi="Times New Roman" w:cs="Times New Roman"/>
                <w:sz w:val="18"/>
                <w:szCs w:val="18"/>
              </w:rPr>
              <w:t xml:space="preserve"> капитальных вложений в объекты муниципальной собственности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9</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923174" w:rsidRDefault="00EC4A91" w:rsidP="00B13827">
            <w:pPr>
              <w:pStyle w:val="ConsPlusNormal"/>
              <w:rPr>
                <w:rFonts w:ascii="Times New Roman" w:hAnsi="Times New Roman" w:cs="Times New Roman"/>
                <w:sz w:val="18"/>
                <w:szCs w:val="18"/>
              </w:rPr>
            </w:pPr>
            <w:r w:rsidRPr="00923174">
              <w:rPr>
                <w:rFonts w:ascii="Times New Roman" w:hAnsi="Times New Roman" w:cs="Times New Roman"/>
                <w:sz w:val="18"/>
                <w:szCs w:val="18"/>
              </w:rPr>
              <w:t>20220303040000150</w:t>
            </w:r>
          </w:p>
        </w:tc>
        <w:tc>
          <w:tcPr>
            <w:tcW w:w="3834" w:type="dxa"/>
          </w:tcPr>
          <w:p w:rsidR="00EC4A91"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w:t>
            </w:r>
            <w:r>
              <w:rPr>
                <w:rFonts w:ascii="Times New Roman" w:hAnsi="Times New Roman" w:cs="Times New Roman"/>
                <w:sz w:val="18"/>
                <w:szCs w:val="18"/>
              </w:rPr>
              <w:t>обеспечение мероприятий по модернизации систем коммунальной инфраструктуры за счет средств бюджетов</w:t>
            </w:r>
          </w:p>
          <w:p w:rsidR="00EC4A91" w:rsidRPr="00923174" w:rsidRDefault="00EC4A91" w:rsidP="00B13827">
            <w:pPr>
              <w:pStyle w:val="ConsPlusNormal"/>
              <w:rPr>
                <w:rFonts w:ascii="Times New Roman" w:hAnsi="Times New Roman" w:cs="Times New Roman"/>
                <w:sz w:val="18"/>
                <w:szCs w:val="18"/>
              </w:rPr>
            </w:pP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10</w:t>
            </w:r>
          </w:p>
        </w:tc>
        <w:tc>
          <w:tcPr>
            <w:tcW w:w="710" w:type="dxa"/>
          </w:tcPr>
          <w:p w:rsidR="00EC4A91" w:rsidRDefault="00EC4A91" w:rsidP="00B13827">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923174" w:rsidRDefault="00EC4A91" w:rsidP="00B13827">
            <w:pPr>
              <w:pStyle w:val="ConsPlusNormal"/>
              <w:rPr>
                <w:rFonts w:ascii="Times New Roman" w:hAnsi="Times New Roman" w:cs="Times New Roman"/>
                <w:sz w:val="18"/>
                <w:szCs w:val="18"/>
              </w:rPr>
            </w:pPr>
            <w:r w:rsidRPr="00344E31">
              <w:rPr>
                <w:rFonts w:ascii="Times New Roman" w:hAnsi="Times New Roman" w:cs="Times New Roman"/>
                <w:sz w:val="18"/>
                <w:szCs w:val="18"/>
              </w:rPr>
              <w:t>20225179040000150</w:t>
            </w:r>
          </w:p>
        </w:tc>
        <w:tc>
          <w:tcPr>
            <w:tcW w:w="3834" w:type="dxa"/>
          </w:tcPr>
          <w:p w:rsidR="00EC4A91" w:rsidRPr="00923174" w:rsidRDefault="00EC4A91" w:rsidP="00B13827">
            <w:pPr>
              <w:pStyle w:val="ConsPlusNormal"/>
              <w:rPr>
                <w:rFonts w:ascii="Times New Roman" w:hAnsi="Times New Roman" w:cs="Times New Roman"/>
                <w:sz w:val="18"/>
                <w:szCs w:val="18"/>
              </w:rPr>
            </w:pPr>
            <w:r w:rsidRPr="00344E31">
              <w:rPr>
                <w:rFonts w:ascii="Times New Roman" w:hAnsi="Times New Roman" w:cs="Times New Roman"/>
                <w:sz w:val="18"/>
                <w:szCs w:val="18"/>
              </w:rPr>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11</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20225304040000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12</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 xml:space="preserve">Комитет по финансам </w:t>
            </w:r>
            <w:r w:rsidRPr="004B47A0">
              <w:rPr>
                <w:sz w:val="18"/>
                <w:szCs w:val="18"/>
              </w:rPr>
              <w:lastRenderedPageBreak/>
              <w:t>администрации города Урай</w:t>
            </w:r>
          </w:p>
        </w:tc>
        <w:tc>
          <w:tcPr>
            <w:tcW w:w="1845" w:type="dxa"/>
          </w:tcPr>
          <w:p w:rsidR="00EC4A91" w:rsidRPr="004B47A0" w:rsidRDefault="00EC4A91" w:rsidP="00B13827">
            <w:pPr>
              <w:rPr>
                <w:sz w:val="18"/>
                <w:szCs w:val="18"/>
              </w:rPr>
            </w:pPr>
            <w:r w:rsidRPr="004B47A0">
              <w:rPr>
                <w:sz w:val="18"/>
                <w:szCs w:val="18"/>
              </w:rPr>
              <w:lastRenderedPageBreak/>
              <w:t>2</w:t>
            </w:r>
            <w:r>
              <w:rPr>
                <w:sz w:val="18"/>
                <w:szCs w:val="18"/>
              </w:rPr>
              <w:t>0225305040000</w:t>
            </w:r>
            <w:r w:rsidRPr="004B47A0">
              <w:rPr>
                <w:sz w:val="18"/>
                <w:szCs w:val="18"/>
              </w:rPr>
              <w:t>150</w:t>
            </w:r>
          </w:p>
        </w:tc>
        <w:tc>
          <w:tcPr>
            <w:tcW w:w="3834" w:type="dxa"/>
          </w:tcPr>
          <w:p w:rsidR="00EC4A91" w:rsidRPr="004B47A0" w:rsidRDefault="00EC4A91" w:rsidP="00B13827">
            <w:pPr>
              <w:adjustRightInd w:val="0"/>
              <w:jc w:val="both"/>
              <w:rPr>
                <w:sz w:val="18"/>
                <w:szCs w:val="18"/>
              </w:rPr>
            </w:pPr>
            <w:r w:rsidRPr="004B47A0">
              <w:rPr>
                <w:sz w:val="18"/>
                <w:szCs w:val="18"/>
              </w:rPr>
              <w:t xml:space="preserve">Субсидии бюджетам городских округов на создание новых мест в общеобразовательных </w:t>
            </w:r>
            <w:r w:rsidRPr="004B47A0">
              <w:rPr>
                <w:sz w:val="18"/>
                <w:szCs w:val="18"/>
              </w:rPr>
              <w:lastRenderedPageBreak/>
              <w:t>организациях в связи с ростом числа обучающихся, вызванным демографическим фактором</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13</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20225491040000</w:t>
            </w:r>
            <w:r w:rsidRPr="004B47A0">
              <w:rPr>
                <w:rFonts w:ascii="Times New Roman" w:hAnsi="Times New Roman" w:cs="Times New Roman"/>
                <w:sz w:val="18"/>
                <w:szCs w:val="18"/>
              </w:rPr>
              <w:t>150</w:t>
            </w:r>
          </w:p>
        </w:tc>
        <w:tc>
          <w:tcPr>
            <w:tcW w:w="3834" w:type="dxa"/>
          </w:tcPr>
          <w:p w:rsidR="00EC4A91"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Субсидии бюджетам городских округов на создание новых мест в образовательных организациях различных типов для реализации дополнительных </w:t>
            </w:r>
            <w:proofErr w:type="spellStart"/>
            <w:r w:rsidRPr="004B47A0">
              <w:rPr>
                <w:rFonts w:ascii="Times New Roman" w:hAnsi="Times New Roman" w:cs="Times New Roman"/>
                <w:sz w:val="18"/>
                <w:szCs w:val="18"/>
              </w:rPr>
              <w:t>общеразвивающих</w:t>
            </w:r>
            <w:proofErr w:type="spellEnd"/>
            <w:r w:rsidRPr="004B47A0">
              <w:rPr>
                <w:rFonts w:ascii="Times New Roman" w:hAnsi="Times New Roman" w:cs="Times New Roman"/>
                <w:sz w:val="18"/>
                <w:szCs w:val="18"/>
              </w:rPr>
              <w:t xml:space="preserve"> программ всех направленностей</w:t>
            </w:r>
          </w:p>
          <w:p w:rsidR="00EC4A91" w:rsidRPr="004B47A0" w:rsidRDefault="00EC4A91" w:rsidP="00B13827">
            <w:pPr>
              <w:pStyle w:val="ConsPlusNormal"/>
              <w:rPr>
                <w:rFonts w:ascii="Times New Roman" w:hAnsi="Times New Roman" w:cs="Times New Roman"/>
                <w:sz w:val="18"/>
                <w:szCs w:val="18"/>
              </w:rPr>
            </w:pP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14</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20225497040000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обеспечению жильем молодых семей</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15</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20225519040000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поддержку отрасли культуры</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16</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20225520040000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sidRPr="004B47A0">
              <w:rPr>
                <w:rFonts w:ascii="Times New Roman" w:hAnsi="Times New Roman" w:cs="Times New Roman"/>
                <w:sz w:val="18"/>
                <w:szCs w:val="18"/>
              </w:rPr>
              <w:t>1</w:t>
            </w:r>
            <w:r>
              <w:rPr>
                <w:rFonts w:ascii="Times New Roman" w:hAnsi="Times New Roman" w:cs="Times New Roman"/>
                <w:sz w:val="18"/>
                <w:szCs w:val="18"/>
              </w:rPr>
              <w:t>7</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20225555040000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программ формирования современной городской среды</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18</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20225750040000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Субсидии бюджетам городских округов на реализацию мероприятий по модернизации школьных систем образования</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19</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20229999040000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субсидии бюджетам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20</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20230024040000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выполнение передаваемых полномочий субъектов Российской Федерации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21</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20230029040000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rsidRPr="004B47A0">
              <w:rPr>
                <w:rFonts w:ascii="Times New Roman" w:hAnsi="Times New Roman" w:cs="Times New Roman"/>
                <w:sz w:val="18"/>
                <w:szCs w:val="18"/>
              </w:rPr>
              <w:lastRenderedPageBreak/>
              <w:t>образования</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22</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20235082040000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985"/>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23</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202</w:t>
            </w:r>
            <w:r w:rsidRPr="004B47A0">
              <w:rPr>
                <w:rFonts w:ascii="Times New Roman" w:hAnsi="Times New Roman" w:cs="Times New Roman"/>
                <w:sz w:val="18"/>
                <w:szCs w:val="18"/>
              </w:rPr>
              <w:t>3</w:t>
            </w:r>
            <w:r>
              <w:rPr>
                <w:rFonts w:ascii="Times New Roman" w:hAnsi="Times New Roman" w:cs="Times New Roman"/>
                <w:sz w:val="18"/>
                <w:szCs w:val="18"/>
              </w:rPr>
              <w:t>5120040000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24</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20235135040000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1" w:history="1">
              <w:r w:rsidRPr="004B47A0">
                <w:rPr>
                  <w:rFonts w:ascii="Times New Roman" w:hAnsi="Times New Roman" w:cs="Times New Roman"/>
                  <w:sz w:val="18"/>
                  <w:szCs w:val="18"/>
                </w:rPr>
                <w:t>законом</w:t>
              </w:r>
            </w:hyperlink>
            <w:r w:rsidRPr="004B47A0">
              <w:rPr>
                <w:rFonts w:ascii="Times New Roman" w:hAnsi="Times New Roman" w:cs="Times New Roman"/>
                <w:sz w:val="18"/>
                <w:szCs w:val="18"/>
              </w:rPr>
              <w:t xml:space="preserve"> от 12 января 1995 года N 5-ФЗ "О ветеранах"</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25</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20235176040000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2" w:history="1">
              <w:r w:rsidRPr="004B47A0">
                <w:rPr>
                  <w:rFonts w:ascii="Times New Roman" w:hAnsi="Times New Roman" w:cs="Times New Roman"/>
                  <w:sz w:val="18"/>
                  <w:szCs w:val="18"/>
                </w:rPr>
                <w:t>законом</w:t>
              </w:r>
            </w:hyperlink>
            <w:r w:rsidRPr="004B47A0">
              <w:rPr>
                <w:rFonts w:ascii="Times New Roman" w:hAnsi="Times New Roman" w:cs="Times New Roman"/>
                <w:sz w:val="18"/>
                <w:szCs w:val="18"/>
              </w:rPr>
              <w:t xml:space="preserve"> от 24 ноября 1995 года N 181-ФЗ "О социальной защите инвалидов в Российской Федерации"</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26</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20235930040000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Субвенции бюджетам городских округов на государственную регистрацию актов гражданского состояния</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27</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20245179040000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28</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20245303040000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29</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20245424040000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 xml:space="preserve">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w:t>
            </w:r>
            <w:r w:rsidRPr="004B47A0">
              <w:rPr>
                <w:rFonts w:ascii="Times New Roman" w:hAnsi="Times New Roman" w:cs="Times New Roman"/>
                <w:sz w:val="18"/>
                <w:szCs w:val="18"/>
              </w:rPr>
              <w:lastRenderedPageBreak/>
              <w:t>Всероссийского конкурса лучших проектов создания комфортной городской среды</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30</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Default="00EC4A91" w:rsidP="00B13827">
            <w:pPr>
              <w:rPr>
                <w:sz w:val="18"/>
                <w:szCs w:val="18"/>
              </w:rPr>
            </w:pPr>
            <w:r w:rsidRPr="004B47A0">
              <w:rPr>
                <w:sz w:val="18"/>
                <w:szCs w:val="18"/>
              </w:rPr>
              <w:t>Комитет по финансам администрации города Урай</w:t>
            </w:r>
          </w:p>
          <w:p w:rsidR="00EC4A91" w:rsidRPr="004B47A0" w:rsidRDefault="00EC4A91" w:rsidP="00B13827">
            <w:pPr>
              <w:rPr>
                <w:sz w:val="18"/>
                <w:szCs w:val="18"/>
              </w:rPr>
            </w:pPr>
          </w:p>
        </w:tc>
        <w:tc>
          <w:tcPr>
            <w:tcW w:w="1845" w:type="dxa"/>
          </w:tcPr>
          <w:p w:rsidR="00EC4A91" w:rsidRPr="004B47A0" w:rsidRDefault="00EC4A91" w:rsidP="00B13827">
            <w:pPr>
              <w:rPr>
                <w:sz w:val="18"/>
                <w:szCs w:val="18"/>
              </w:rPr>
            </w:pPr>
            <w:r>
              <w:rPr>
                <w:sz w:val="18"/>
                <w:szCs w:val="18"/>
              </w:rPr>
              <w:t>20249999040000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межбюджетные трансферты, передаваемые бюджетам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4544" w:type="dxa"/>
            <w:gridSpan w:val="2"/>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1751"/>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31</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20704050040000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Прочие безвозмездные поступления в бюджеты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Pr>
                <w:rFonts w:ascii="Times New Roman" w:hAnsi="Times New Roman" w:cs="Times New Roman"/>
                <w:sz w:val="18"/>
                <w:szCs w:val="18"/>
              </w:rPr>
              <w:t>целевой ориентир</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2673E7">
              <w:rPr>
                <w:rFonts w:ascii="Times New Roman" w:hAnsi="Times New Roman" w:cs="Times New Roman"/>
                <w:sz w:val="18"/>
                <w:szCs w:val="18"/>
              </w:rPr>
              <w:t xml:space="preserve">НП = </w:t>
            </w:r>
            <w:proofErr w:type="spellStart"/>
            <w:r w:rsidRPr="002673E7">
              <w:rPr>
                <w:rFonts w:ascii="Times New Roman" w:hAnsi="Times New Roman" w:cs="Times New Roman"/>
                <w:sz w:val="18"/>
                <w:szCs w:val="18"/>
              </w:rPr>
              <w:t>ЦОнп</w:t>
            </w:r>
            <w:proofErr w:type="spellEnd"/>
            <w:r w:rsidRPr="004B47A0">
              <w:rPr>
                <w:rFonts w:ascii="Times New Roman" w:hAnsi="Times New Roman" w:cs="Times New Roman"/>
                <w:sz w:val="18"/>
                <w:szCs w:val="18"/>
              </w:rPr>
              <w:t xml:space="preserve"> </w:t>
            </w:r>
          </w:p>
        </w:tc>
        <w:tc>
          <w:tcPr>
            <w:tcW w:w="2414" w:type="dxa"/>
          </w:tcPr>
          <w:p w:rsidR="00EC4A91" w:rsidRPr="004B47A0" w:rsidRDefault="00EC4A91" w:rsidP="00B13827">
            <w:pPr>
              <w:adjustRightInd w:val="0"/>
              <w:rPr>
                <w:sz w:val="18"/>
                <w:szCs w:val="18"/>
              </w:rPr>
            </w:pPr>
            <w:r w:rsidRPr="004B47A0">
              <w:rPr>
                <w:sz w:val="18"/>
                <w:szCs w:val="18"/>
              </w:rPr>
              <w:t>Данный вид доходов относится к категории не подлежащих объективному прогнозированию, не имеет постоянного характера поступлений.</w:t>
            </w:r>
          </w:p>
          <w:p w:rsidR="00EC4A91" w:rsidRDefault="00EC4A91" w:rsidP="00B13827">
            <w:pPr>
              <w:adjustRightInd w:val="0"/>
              <w:rPr>
                <w:sz w:val="18"/>
                <w:szCs w:val="18"/>
              </w:rPr>
            </w:pPr>
            <w:r>
              <w:rPr>
                <w:sz w:val="18"/>
                <w:szCs w:val="18"/>
              </w:rPr>
              <w:t>Прогнозирование показателей (НП</w:t>
            </w:r>
            <w:r w:rsidRPr="004B47A0">
              <w:rPr>
                <w:sz w:val="18"/>
                <w:szCs w:val="18"/>
              </w:rPr>
              <w:t>) поступлений по данному виду доходов на очередной финансовый год и</w:t>
            </w:r>
            <w:r>
              <w:rPr>
                <w:sz w:val="18"/>
                <w:szCs w:val="18"/>
              </w:rPr>
              <w:t xml:space="preserve"> плановый период рассчитывается </w:t>
            </w:r>
            <w:r w:rsidRPr="004B47A0">
              <w:rPr>
                <w:sz w:val="18"/>
                <w:szCs w:val="18"/>
              </w:rPr>
              <w:t>на основе заключенных соглашений и иных форм сотрудничества с юридическими и физическими лицами, устанавливающих порядок предоставления.</w:t>
            </w:r>
          </w:p>
          <w:p w:rsidR="00EC4A91" w:rsidRPr="004B47A0" w:rsidRDefault="00EC4A91" w:rsidP="00B13827">
            <w:pPr>
              <w:adjustRightInd w:val="0"/>
              <w:rPr>
                <w:sz w:val="18"/>
                <w:szCs w:val="18"/>
              </w:rPr>
            </w:pPr>
          </w:p>
        </w:tc>
        <w:tc>
          <w:tcPr>
            <w:tcW w:w="2130" w:type="dxa"/>
          </w:tcPr>
          <w:p w:rsidR="00EC4A91" w:rsidRPr="004B47A0" w:rsidRDefault="00EC4A91" w:rsidP="00B13827">
            <w:pPr>
              <w:pStyle w:val="ConsPlusNormal"/>
              <w:widowControl w:val="0"/>
              <w:contextualSpacing/>
              <w:rPr>
                <w:rFonts w:ascii="Times New Roman" w:hAnsi="Times New Roman" w:cs="Times New Roman"/>
                <w:sz w:val="18"/>
                <w:szCs w:val="18"/>
              </w:rPr>
            </w:pPr>
            <w:proofErr w:type="spellStart"/>
            <w:r w:rsidRPr="002673E7">
              <w:rPr>
                <w:rFonts w:ascii="Times New Roman" w:hAnsi="Times New Roman" w:cs="Times New Roman"/>
                <w:sz w:val="18"/>
                <w:szCs w:val="18"/>
              </w:rPr>
              <w:t>ЦОнп</w:t>
            </w:r>
            <w:proofErr w:type="spellEnd"/>
            <w:r w:rsidRPr="002673E7">
              <w:rPr>
                <w:rFonts w:ascii="Times New Roman" w:hAnsi="Times New Roman" w:cs="Times New Roman"/>
                <w:sz w:val="18"/>
                <w:szCs w:val="18"/>
              </w:rPr>
              <w:t xml:space="preserve"> - целевой ориентир поступления в бюджет города </w:t>
            </w:r>
            <w:r>
              <w:rPr>
                <w:rFonts w:ascii="Times New Roman" w:hAnsi="Times New Roman" w:cs="Times New Roman"/>
                <w:sz w:val="18"/>
                <w:szCs w:val="18"/>
              </w:rPr>
              <w:t>безвозмездных поступлений</w:t>
            </w:r>
            <w:r w:rsidRPr="002673E7">
              <w:rPr>
                <w:rFonts w:ascii="Times New Roman" w:hAnsi="Times New Roman" w:cs="Times New Roman"/>
                <w:sz w:val="18"/>
                <w:szCs w:val="18"/>
              </w:rPr>
              <w:t>, зачисляемых в бюджеты городских округов</w:t>
            </w:r>
            <w:r w:rsidRPr="004B47A0">
              <w:rPr>
                <w:rFonts w:ascii="Times New Roman" w:hAnsi="Times New Roman" w:cs="Times New Roman"/>
                <w:sz w:val="18"/>
                <w:szCs w:val="18"/>
              </w:rPr>
              <w:t xml:space="preserve"> </w:t>
            </w:r>
          </w:p>
        </w:tc>
      </w:tr>
      <w:tr w:rsidR="00EC4A91" w:rsidRPr="004B47A0" w:rsidTr="00B13827">
        <w:trPr>
          <w:trHeight w:val="1656"/>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32</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20804000040000</w:t>
            </w:r>
            <w:r w:rsidRPr="004B47A0">
              <w:rPr>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tcPr>
          <w:p w:rsidR="00EC4A91" w:rsidRPr="004B47A0" w:rsidRDefault="00EC4A91" w:rsidP="00B13827">
            <w:pPr>
              <w:adjustRightInd w:val="0"/>
              <w:rPr>
                <w:rFonts w:eastAsiaTheme="minorHAnsi"/>
                <w:sz w:val="18"/>
                <w:szCs w:val="18"/>
                <w:lang w:eastAsia="en-US"/>
              </w:rPr>
            </w:pPr>
            <w:r w:rsidRPr="004B47A0">
              <w:rPr>
                <w:rFonts w:eastAsiaTheme="minorHAnsi"/>
                <w:sz w:val="18"/>
                <w:szCs w:val="18"/>
                <w:lang w:eastAsia="en-US"/>
              </w:rPr>
              <w:t>Прогнозирование поступления доходов от перечисления из бюджетов городских округов (в бюджеты городских округов) для осуществления возврата (зачета) на очередной финансовый год и на плановый период не осуществляется.</w:t>
            </w:r>
          </w:p>
          <w:p w:rsidR="00EC4A91" w:rsidRDefault="00EC4A91" w:rsidP="00B13827">
            <w:pPr>
              <w:adjustRightInd w:val="0"/>
              <w:rPr>
                <w:rFonts w:eastAsiaTheme="minorHAnsi"/>
                <w:sz w:val="18"/>
                <w:szCs w:val="18"/>
                <w:lang w:eastAsia="en-US"/>
              </w:rPr>
            </w:pPr>
            <w:r w:rsidRPr="004B47A0">
              <w:rPr>
                <w:rFonts w:eastAsiaTheme="minorHAnsi"/>
                <w:sz w:val="18"/>
                <w:szCs w:val="18"/>
                <w:lang w:eastAsia="en-US"/>
              </w:rPr>
              <w:t xml:space="preserve">В течение текущего финансового года сумма поступлений может быть скорректирована исходя из суммы фактического перечисления из бюджета и (или) поступления в </w:t>
            </w:r>
            <w:r w:rsidRPr="004B47A0">
              <w:rPr>
                <w:rFonts w:eastAsiaTheme="minorHAnsi"/>
                <w:sz w:val="18"/>
                <w:szCs w:val="18"/>
                <w:lang w:eastAsia="en-US"/>
              </w:rPr>
              <w:lastRenderedPageBreak/>
              <w:t>бюджет средств.</w:t>
            </w:r>
          </w:p>
          <w:p w:rsidR="00EC4A91" w:rsidRPr="004B47A0" w:rsidRDefault="00EC4A91" w:rsidP="00B13827">
            <w:pPr>
              <w:adjustRightInd w:val="0"/>
              <w:rPr>
                <w:rFonts w:eastAsiaTheme="minorHAnsi"/>
                <w:sz w:val="18"/>
                <w:szCs w:val="18"/>
                <w:lang w:eastAsia="en-US"/>
              </w:rPr>
            </w:pPr>
          </w:p>
        </w:tc>
        <w:tc>
          <w:tcPr>
            <w:tcW w:w="213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lastRenderedPageBreak/>
              <w:t>-</w:t>
            </w:r>
          </w:p>
        </w:tc>
      </w:tr>
      <w:tr w:rsidR="00EC4A91" w:rsidRPr="004B47A0" w:rsidTr="00B13827">
        <w:trPr>
          <w:trHeight w:val="368"/>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lastRenderedPageBreak/>
              <w:t>33</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21925497040000</w:t>
            </w:r>
            <w:r w:rsidRPr="004B47A0">
              <w:rPr>
                <w:rFonts w:ascii="Times New Roman" w:hAnsi="Times New Roman" w:cs="Times New Roman"/>
                <w:sz w:val="18"/>
                <w:szCs w:val="18"/>
              </w:rPr>
              <w:t>150</w:t>
            </w:r>
          </w:p>
        </w:tc>
        <w:tc>
          <w:tcPr>
            <w:tcW w:w="3834" w:type="dxa"/>
          </w:tcPr>
          <w:p w:rsidR="00EC4A91"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Возврат остатков субсидий на реализацию мероприятий по обеспечению жильем молодых семей из бюджетов городских округов</w:t>
            </w:r>
          </w:p>
          <w:p w:rsidR="00EC4A91" w:rsidRPr="004B47A0" w:rsidRDefault="00EC4A91" w:rsidP="00B13827">
            <w:pPr>
              <w:pStyle w:val="ConsPlusNormal"/>
              <w:rPr>
                <w:rFonts w:ascii="Times New Roman" w:hAnsi="Times New Roman" w:cs="Times New Roman"/>
                <w:sz w:val="18"/>
                <w:szCs w:val="18"/>
              </w:rPr>
            </w:pP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val="restart"/>
          </w:tcPr>
          <w:p w:rsidR="00EC4A91" w:rsidRPr="004B47A0" w:rsidRDefault="00EC4A91" w:rsidP="00B13827">
            <w:pPr>
              <w:adjustRightInd w:val="0"/>
              <w:rPr>
                <w:rFonts w:eastAsiaTheme="minorHAnsi"/>
                <w:sz w:val="18"/>
                <w:szCs w:val="18"/>
                <w:lang w:eastAsia="en-US"/>
              </w:rPr>
            </w:pPr>
            <w:r w:rsidRPr="004B47A0">
              <w:rPr>
                <w:rFonts w:eastAsiaTheme="minorHAnsi"/>
                <w:sz w:val="18"/>
                <w:szCs w:val="18"/>
                <w:lang w:eastAsia="en-US"/>
              </w:rPr>
              <w:t>Прогнозирование возврата остатков субсидий, субвенций, и иных межбюджетных трансфертов, имеющих целевое назначение, на очередной финансовый год и на плановый период не осуществляется. Объем возврата остатков субсидий, субвенций и иных межбюджетных трансфертов, имеющих целевое назначение, прошлых лет из бюджета автономного округа корректируется на текущий финансовый год с учетом фактического возврата остатков межбюджетных трансфертов, а также сумм подлежащих возврату средств, потребность в которых подтверждена.</w:t>
            </w:r>
          </w:p>
        </w:tc>
        <w:tc>
          <w:tcPr>
            <w:tcW w:w="2130" w:type="dxa"/>
            <w:vMerge w:val="restart"/>
          </w:tcPr>
          <w:p w:rsidR="00EC4A91" w:rsidRPr="004B47A0" w:rsidRDefault="00EC4A91" w:rsidP="00B13827">
            <w:pPr>
              <w:adjustRightInd w:val="0"/>
              <w:rPr>
                <w:rFonts w:eastAsiaTheme="minorHAnsi"/>
                <w:sz w:val="18"/>
                <w:szCs w:val="18"/>
                <w:lang w:eastAsia="en-US"/>
              </w:rPr>
            </w:pPr>
            <w:r>
              <w:rPr>
                <w:rFonts w:eastAsiaTheme="minorHAnsi"/>
                <w:sz w:val="18"/>
                <w:szCs w:val="18"/>
                <w:lang w:eastAsia="en-US"/>
              </w:rPr>
              <w:t>Объем поступлений в бюджет города Урай по данным доходам не прогнозируется, т.к. доходы имеют несистемный характер поступлений. По данным источникам плановые показатели формируются по факту поступления.</w:t>
            </w:r>
          </w:p>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34</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pStyle w:val="ConsPlusNormal"/>
              <w:rPr>
                <w:rFonts w:ascii="Times New Roman" w:hAnsi="Times New Roman" w:cs="Times New Roman"/>
                <w:sz w:val="18"/>
                <w:szCs w:val="18"/>
              </w:rPr>
            </w:pPr>
            <w:r>
              <w:rPr>
                <w:rFonts w:ascii="Times New Roman" w:hAnsi="Times New Roman" w:cs="Times New Roman"/>
                <w:sz w:val="18"/>
                <w:szCs w:val="18"/>
              </w:rPr>
              <w:t>21925555040000</w:t>
            </w:r>
            <w:r w:rsidRPr="004B47A0">
              <w:rPr>
                <w:rFonts w:ascii="Times New Roman" w:hAnsi="Times New Roman" w:cs="Times New Roman"/>
                <w:sz w:val="18"/>
                <w:szCs w:val="18"/>
              </w:rPr>
              <w:t>150</w:t>
            </w:r>
          </w:p>
        </w:tc>
        <w:tc>
          <w:tcPr>
            <w:tcW w:w="3834" w:type="dxa"/>
          </w:tcPr>
          <w:p w:rsidR="00EC4A91" w:rsidRPr="004B47A0" w:rsidRDefault="00EC4A91" w:rsidP="00B13827">
            <w:pPr>
              <w:pStyle w:val="ConsPlusNormal"/>
              <w:rPr>
                <w:rFonts w:ascii="Times New Roman" w:hAnsi="Times New Roman" w:cs="Times New Roman"/>
                <w:sz w:val="18"/>
                <w:szCs w:val="18"/>
              </w:rPr>
            </w:pPr>
            <w:r w:rsidRPr="004B47A0">
              <w:rPr>
                <w:rFonts w:ascii="Times New Roman" w:hAnsi="Times New Roman" w:cs="Times New Roman"/>
                <w:sz w:val="18"/>
                <w:szCs w:val="18"/>
              </w:rPr>
              <w:t>Возврат остатков субсидий на реализацию программ формирования современной городской среды из бюджетов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tcPr>
          <w:p w:rsidR="00EC4A91" w:rsidRPr="004B47A0" w:rsidRDefault="00EC4A91" w:rsidP="00B13827">
            <w:pPr>
              <w:adjustRightInd w:val="0"/>
              <w:rPr>
                <w:rFonts w:eastAsiaTheme="minorHAnsi"/>
                <w:sz w:val="18"/>
                <w:szCs w:val="18"/>
                <w:lang w:eastAsia="en-US"/>
              </w:rPr>
            </w:pPr>
          </w:p>
        </w:tc>
        <w:tc>
          <w:tcPr>
            <w:tcW w:w="2130" w:type="dxa"/>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35</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21945424040000</w:t>
            </w:r>
            <w:r w:rsidRPr="004B47A0">
              <w:rPr>
                <w:sz w:val="18"/>
                <w:szCs w:val="18"/>
              </w:rPr>
              <w:t>150</w:t>
            </w:r>
          </w:p>
        </w:tc>
        <w:tc>
          <w:tcPr>
            <w:tcW w:w="3834" w:type="dxa"/>
          </w:tcPr>
          <w:p w:rsidR="00EC4A91" w:rsidRPr="004B47A0" w:rsidRDefault="00EC4A91" w:rsidP="00B13827">
            <w:pPr>
              <w:pStyle w:val="ConsPlusNormal"/>
              <w:jc w:val="both"/>
              <w:rPr>
                <w:rFonts w:ascii="Times New Roman" w:hAnsi="Times New Roman" w:cs="Times New Roman"/>
                <w:sz w:val="18"/>
                <w:szCs w:val="18"/>
              </w:rPr>
            </w:pPr>
            <w:r w:rsidRPr="004B47A0">
              <w:rPr>
                <w:rFonts w:ascii="Times New Roman" w:hAnsi="Times New Roman" w:cs="Times New Roman"/>
                <w:sz w:val="18"/>
                <w:szCs w:val="18"/>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2414" w:type="dxa"/>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2130" w:type="dxa"/>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r w:rsidR="00EC4A91" w:rsidRPr="004B47A0" w:rsidTr="00B13827">
        <w:trPr>
          <w:trHeight w:val="64"/>
        </w:trPr>
        <w:tc>
          <w:tcPr>
            <w:tcW w:w="426" w:type="dxa"/>
          </w:tcPr>
          <w:p w:rsidR="00EC4A91" w:rsidRPr="004B47A0" w:rsidRDefault="00EC4A91" w:rsidP="00B13827">
            <w:pPr>
              <w:pStyle w:val="ConsPlusNormal"/>
              <w:widowControl w:val="0"/>
              <w:contextualSpacing/>
              <w:rPr>
                <w:rFonts w:ascii="Times New Roman" w:hAnsi="Times New Roman" w:cs="Times New Roman"/>
                <w:sz w:val="18"/>
                <w:szCs w:val="18"/>
              </w:rPr>
            </w:pPr>
            <w:r>
              <w:rPr>
                <w:rFonts w:ascii="Times New Roman" w:hAnsi="Times New Roman" w:cs="Times New Roman"/>
                <w:sz w:val="18"/>
                <w:szCs w:val="18"/>
              </w:rPr>
              <w:t>36</w:t>
            </w:r>
          </w:p>
        </w:tc>
        <w:tc>
          <w:tcPr>
            <w:tcW w:w="710"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050</w:t>
            </w:r>
          </w:p>
        </w:tc>
        <w:tc>
          <w:tcPr>
            <w:tcW w:w="1563" w:type="dxa"/>
          </w:tcPr>
          <w:p w:rsidR="00EC4A91" w:rsidRPr="004B47A0" w:rsidRDefault="00EC4A91" w:rsidP="00B13827">
            <w:pPr>
              <w:rPr>
                <w:sz w:val="18"/>
                <w:szCs w:val="18"/>
              </w:rPr>
            </w:pPr>
            <w:r w:rsidRPr="004B47A0">
              <w:rPr>
                <w:sz w:val="18"/>
                <w:szCs w:val="18"/>
              </w:rPr>
              <w:t>Комитет по финансам администрации города Урай</w:t>
            </w:r>
          </w:p>
        </w:tc>
        <w:tc>
          <w:tcPr>
            <w:tcW w:w="1845" w:type="dxa"/>
          </w:tcPr>
          <w:p w:rsidR="00EC4A91" w:rsidRPr="004B47A0" w:rsidRDefault="00EC4A91" w:rsidP="00B13827">
            <w:pPr>
              <w:rPr>
                <w:sz w:val="18"/>
                <w:szCs w:val="18"/>
              </w:rPr>
            </w:pPr>
            <w:r>
              <w:rPr>
                <w:sz w:val="18"/>
                <w:szCs w:val="18"/>
              </w:rPr>
              <w:t>21960010040000</w:t>
            </w:r>
            <w:r w:rsidRPr="004B47A0">
              <w:rPr>
                <w:sz w:val="18"/>
                <w:szCs w:val="18"/>
              </w:rPr>
              <w:t>150</w:t>
            </w:r>
          </w:p>
        </w:tc>
        <w:tc>
          <w:tcPr>
            <w:tcW w:w="3834" w:type="dxa"/>
          </w:tcPr>
          <w:p w:rsidR="00EC4A91" w:rsidRPr="004B47A0" w:rsidRDefault="00EC4A91" w:rsidP="00B13827">
            <w:pPr>
              <w:rPr>
                <w:sz w:val="18"/>
                <w:szCs w:val="18"/>
              </w:rPr>
            </w:pPr>
            <w:r w:rsidRPr="004B47A0">
              <w:rPr>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6" w:type="dxa"/>
          </w:tcPr>
          <w:p w:rsidR="00EC4A91" w:rsidRPr="004B47A0" w:rsidRDefault="00EC4A91" w:rsidP="00B13827">
            <w:pPr>
              <w:pStyle w:val="ConsPlusNormal"/>
              <w:widowControl w:val="0"/>
              <w:contextualSpacing/>
              <w:jc w:val="center"/>
              <w:rPr>
                <w:rFonts w:ascii="Times New Roman" w:hAnsi="Times New Roman" w:cs="Times New Roman"/>
                <w:sz w:val="18"/>
                <w:szCs w:val="18"/>
              </w:rPr>
            </w:pPr>
            <w:r w:rsidRPr="004B47A0">
              <w:rPr>
                <w:rFonts w:ascii="Times New Roman" w:hAnsi="Times New Roman" w:cs="Times New Roman"/>
                <w:sz w:val="18"/>
                <w:szCs w:val="18"/>
              </w:rPr>
              <w:t>-</w:t>
            </w:r>
          </w:p>
        </w:tc>
        <w:tc>
          <w:tcPr>
            <w:tcW w:w="1846" w:type="dxa"/>
          </w:tcPr>
          <w:p w:rsidR="00EC4A91" w:rsidRPr="004B47A0" w:rsidRDefault="00EC4A91" w:rsidP="00B13827">
            <w:pPr>
              <w:pStyle w:val="ConsPlusNormal"/>
              <w:spacing w:line="276" w:lineRule="auto"/>
              <w:jc w:val="center"/>
              <w:rPr>
                <w:rFonts w:ascii="Times New Roman" w:hAnsi="Times New Roman" w:cs="Times New Roman"/>
                <w:sz w:val="18"/>
                <w:szCs w:val="18"/>
              </w:rPr>
            </w:pPr>
            <w:r w:rsidRPr="004B47A0">
              <w:rPr>
                <w:rFonts w:ascii="Times New Roman" w:hAnsi="Times New Roman" w:cs="Times New Roman"/>
                <w:sz w:val="18"/>
                <w:szCs w:val="18"/>
              </w:rPr>
              <w:t>-</w:t>
            </w:r>
          </w:p>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2414" w:type="dxa"/>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c>
          <w:tcPr>
            <w:tcW w:w="2130" w:type="dxa"/>
            <w:vMerge/>
          </w:tcPr>
          <w:p w:rsidR="00EC4A91" w:rsidRPr="004B47A0" w:rsidRDefault="00EC4A91" w:rsidP="00B13827">
            <w:pPr>
              <w:pStyle w:val="ConsPlusNormal"/>
              <w:widowControl w:val="0"/>
              <w:contextualSpacing/>
              <w:jc w:val="center"/>
              <w:rPr>
                <w:rFonts w:ascii="Times New Roman" w:hAnsi="Times New Roman" w:cs="Times New Roman"/>
                <w:sz w:val="18"/>
                <w:szCs w:val="18"/>
              </w:rPr>
            </w:pPr>
          </w:p>
        </w:tc>
      </w:tr>
    </w:tbl>
    <w:p w:rsidR="00EC4A91" w:rsidRDefault="00EC4A91" w:rsidP="00EC4A91">
      <w:pPr>
        <w:tabs>
          <w:tab w:val="left" w:pos="9356"/>
        </w:tabs>
        <w:ind w:right="-2"/>
        <w:jc w:val="both"/>
        <w:rPr>
          <w:sz w:val="24"/>
          <w:szCs w:val="24"/>
        </w:rPr>
      </w:pPr>
    </w:p>
    <w:p w:rsidR="008E4920" w:rsidRPr="004B47A0" w:rsidRDefault="008E4920" w:rsidP="00C078C5">
      <w:pPr>
        <w:pStyle w:val="ConsPlusNormal"/>
        <w:jc w:val="both"/>
        <w:rPr>
          <w:rFonts w:ascii="Times New Roman" w:hAnsi="Times New Roman" w:cs="Times New Roman"/>
          <w:sz w:val="24"/>
          <w:szCs w:val="24"/>
        </w:rPr>
      </w:pPr>
    </w:p>
    <w:sectPr w:rsidR="008E4920" w:rsidRPr="004B47A0" w:rsidSect="00303F2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61" w:rsidRDefault="00850661" w:rsidP="002F11E8">
      <w:r>
        <w:separator/>
      </w:r>
    </w:p>
  </w:endnote>
  <w:endnote w:type="continuationSeparator" w:id="0">
    <w:p w:rsidR="00850661" w:rsidRDefault="00850661" w:rsidP="002F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61" w:rsidRDefault="00850661" w:rsidP="002F11E8">
      <w:r>
        <w:separator/>
      </w:r>
    </w:p>
  </w:footnote>
  <w:footnote w:type="continuationSeparator" w:id="0">
    <w:p w:rsidR="00850661" w:rsidRDefault="00850661" w:rsidP="002F1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480"/>
    <w:multiLevelType w:val="multilevel"/>
    <w:tmpl w:val="9782E13E"/>
    <w:lvl w:ilvl="0">
      <w:start w:val="1"/>
      <w:numFmt w:val="decimal"/>
      <w:lvlText w:val="%1."/>
      <w:lvlJc w:val="left"/>
      <w:pPr>
        <w:ind w:left="900" w:hanging="360"/>
      </w:pPr>
      <w:rPr>
        <w:rFonts w:hint="default"/>
      </w:rPr>
    </w:lvl>
    <w:lvl w:ilvl="1">
      <w:start w:val="1"/>
      <w:numFmt w:val="decimal"/>
      <w:isLgl/>
      <w:lvlText w:val="%1.%2."/>
      <w:lvlJc w:val="left"/>
      <w:pPr>
        <w:ind w:left="2543" w:hanging="1125"/>
      </w:pPr>
      <w:rPr>
        <w:rFonts w:hint="default"/>
        <w:sz w:val="24"/>
        <w:szCs w:val="24"/>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63241838"/>
    <w:multiLevelType w:val="hybridMultilevel"/>
    <w:tmpl w:val="5BAC5CAA"/>
    <w:lvl w:ilvl="0" w:tplc="93B627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F11E8"/>
    <w:rsid w:val="00006535"/>
    <w:rsid w:val="00014309"/>
    <w:rsid w:val="00024AB6"/>
    <w:rsid w:val="0003264F"/>
    <w:rsid w:val="000352D4"/>
    <w:rsid w:val="000575AD"/>
    <w:rsid w:val="00085F18"/>
    <w:rsid w:val="000A7512"/>
    <w:rsid w:val="000C2650"/>
    <w:rsid w:val="000D3F6C"/>
    <w:rsid w:val="000E52B5"/>
    <w:rsid w:val="000F633D"/>
    <w:rsid w:val="000F67C9"/>
    <w:rsid w:val="00100C9E"/>
    <w:rsid w:val="00101407"/>
    <w:rsid w:val="00104C40"/>
    <w:rsid w:val="00121184"/>
    <w:rsid w:val="00140E63"/>
    <w:rsid w:val="0015214F"/>
    <w:rsid w:val="001527A1"/>
    <w:rsid w:val="00155BB2"/>
    <w:rsid w:val="00167CA1"/>
    <w:rsid w:val="00194B97"/>
    <w:rsid w:val="00197773"/>
    <w:rsid w:val="001A0F6A"/>
    <w:rsid w:val="001E2790"/>
    <w:rsid w:val="001E7CF7"/>
    <w:rsid w:val="00247341"/>
    <w:rsid w:val="00250BDA"/>
    <w:rsid w:val="0025644B"/>
    <w:rsid w:val="002673E7"/>
    <w:rsid w:val="0027600D"/>
    <w:rsid w:val="00284FA7"/>
    <w:rsid w:val="00295656"/>
    <w:rsid w:val="002966C5"/>
    <w:rsid w:val="00297DAF"/>
    <w:rsid w:val="002A15BB"/>
    <w:rsid w:val="002A1CAC"/>
    <w:rsid w:val="002A37E1"/>
    <w:rsid w:val="002A6804"/>
    <w:rsid w:val="002B4828"/>
    <w:rsid w:val="002C6899"/>
    <w:rsid w:val="002E7831"/>
    <w:rsid w:val="002F11E8"/>
    <w:rsid w:val="002F4CD3"/>
    <w:rsid w:val="00303F22"/>
    <w:rsid w:val="00305C26"/>
    <w:rsid w:val="003116F7"/>
    <w:rsid w:val="003311C5"/>
    <w:rsid w:val="003313E6"/>
    <w:rsid w:val="00333F4D"/>
    <w:rsid w:val="00336E4D"/>
    <w:rsid w:val="003510D7"/>
    <w:rsid w:val="00395652"/>
    <w:rsid w:val="003A22C5"/>
    <w:rsid w:val="003B3926"/>
    <w:rsid w:val="003B673F"/>
    <w:rsid w:val="003D55D8"/>
    <w:rsid w:val="003E6FC1"/>
    <w:rsid w:val="004028AA"/>
    <w:rsid w:val="0040696B"/>
    <w:rsid w:val="00433DEF"/>
    <w:rsid w:val="00437BB4"/>
    <w:rsid w:val="00437FAD"/>
    <w:rsid w:val="00477D79"/>
    <w:rsid w:val="004814C1"/>
    <w:rsid w:val="00491ADB"/>
    <w:rsid w:val="004969F8"/>
    <w:rsid w:val="004A0EC3"/>
    <w:rsid w:val="004B47A0"/>
    <w:rsid w:val="004D7C83"/>
    <w:rsid w:val="005160DB"/>
    <w:rsid w:val="00550230"/>
    <w:rsid w:val="00582435"/>
    <w:rsid w:val="0058780B"/>
    <w:rsid w:val="005A36F5"/>
    <w:rsid w:val="005A4ABE"/>
    <w:rsid w:val="005A4D81"/>
    <w:rsid w:val="005D28B0"/>
    <w:rsid w:val="005E513A"/>
    <w:rsid w:val="005E6E5D"/>
    <w:rsid w:val="00600AF6"/>
    <w:rsid w:val="00607B04"/>
    <w:rsid w:val="00610695"/>
    <w:rsid w:val="00610AE5"/>
    <w:rsid w:val="00642E56"/>
    <w:rsid w:val="006433A1"/>
    <w:rsid w:val="006539EA"/>
    <w:rsid w:val="00654495"/>
    <w:rsid w:val="00654C9A"/>
    <w:rsid w:val="00675F3E"/>
    <w:rsid w:val="00683ECD"/>
    <w:rsid w:val="006C009C"/>
    <w:rsid w:val="006D221B"/>
    <w:rsid w:val="006E36B8"/>
    <w:rsid w:val="006E47B4"/>
    <w:rsid w:val="006F0081"/>
    <w:rsid w:val="006F1529"/>
    <w:rsid w:val="007028D0"/>
    <w:rsid w:val="0070521A"/>
    <w:rsid w:val="0070565C"/>
    <w:rsid w:val="0071264D"/>
    <w:rsid w:val="00737671"/>
    <w:rsid w:val="007462A1"/>
    <w:rsid w:val="00757F6E"/>
    <w:rsid w:val="00772483"/>
    <w:rsid w:val="007800B5"/>
    <w:rsid w:val="00784669"/>
    <w:rsid w:val="00794481"/>
    <w:rsid w:val="007D6F4B"/>
    <w:rsid w:val="007E57BC"/>
    <w:rsid w:val="007F48D8"/>
    <w:rsid w:val="008209C8"/>
    <w:rsid w:val="00822021"/>
    <w:rsid w:val="008259AC"/>
    <w:rsid w:val="008350F4"/>
    <w:rsid w:val="00850661"/>
    <w:rsid w:val="00877D0C"/>
    <w:rsid w:val="00883332"/>
    <w:rsid w:val="0089286A"/>
    <w:rsid w:val="008A28DF"/>
    <w:rsid w:val="008A4105"/>
    <w:rsid w:val="008C4FB8"/>
    <w:rsid w:val="008E47C5"/>
    <w:rsid w:val="008E4920"/>
    <w:rsid w:val="008F3550"/>
    <w:rsid w:val="008F4795"/>
    <w:rsid w:val="009012EE"/>
    <w:rsid w:val="00903B31"/>
    <w:rsid w:val="00911ACE"/>
    <w:rsid w:val="00912392"/>
    <w:rsid w:val="00917FD8"/>
    <w:rsid w:val="0094566E"/>
    <w:rsid w:val="00946554"/>
    <w:rsid w:val="00946923"/>
    <w:rsid w:val="0095086D"/>
    <w:rsid w:val="0096462C"/>
    <w:rsid w:val="00991BAD"/>
    <w:rsid w:val="009A4545"/>
    <w:rsid w:val="009B2A76"/>
    <w:rsid w:val="009B6896"/>
    <w:rsid w:val="009C0DFC"/>
    <w:rsid w:val="009C70AD"/>
    <w:rsid w:val="009D0780"/>
    <w:rsid w:val="009D1D75"/>
    <w:rsid w:val="009E1252"/>
    <w:rsid w:val="009E21A1"/>
    <w:rsid w:val="00A06F47"/>
    <w:rsid w:val="00A1763F"/>
    <w:rsid w:val="00A23A24"/>
    <w:rsid w:val="00A3171D"/>
    <w:rsid w:val="00A62CD9"/>
    <w:rsid w:val="00A7411B"/>
    <w:rsid w:val="00A838E3"/>
    <w:rsid w:val="00A87D61"/>
    <w:rsid w:val="00AA5B7E"/>
    <w:rsid w:val="00AB53B4"/>
    <w:rsid w:val="00AC3E0F"/>
    <w:rsid w:val="00B05755"/>
    <w:rsid w:val="00B10C49"/>
    <w:rsid w:val="00B130A4"/>
    <w:rsid w:val="00B13E6A"/>
    <w:rsid w:val="00B16884"/>
    <w:rsid w:val="00B307C7"/>
    <w:rsid w:val="00B30B9E"/>
    <w:rsid w:val="00B42220"/>
    <w:rsid w:val="00B46612"/>
    <w:rsid w:val="00B646BF"/>
    <w:rsid w:val="00B71729"/>
    <w:rsid w:val="00B75E3B"/>
    <w:rsid w:val="00B82760"/>
    <w:rsid w:val="00BA1E4F"/>
    <w:rsid w:val="00BB09C1"/>
    <w:rsid w:val="00BB15AA"/>
    <w:rsid w:val="00BC2E32"/>
    <w:rsid w:val="00BC5930"/>
    <w:rsid w:val="00C0257D"/>
    <w:rsid w:val="00C05218"/>
    <w:rsid w:val="00C06D21"/>
    <w:rsid w:val="00C078C5"/>
    <w:rsid w:val="00C10F5A"/>
    <w:rsid w:val="00C1259B"/>
    <w:rsid w:val="00C16064"/>
    <w:rsid w:val="00C45999"/>
    <w:rsid w:val="00C51E8C"/>
    <w:rsid w:val="00C70C23"/>
    <w:rsid w:val="00C8680B"/>
    <w:rsid w:val="00C9242C"/>
    <w:rsid w:val="00C93572"/>
    <w:rsid w:val="00CA5498"/>
    <w:rsid w:val="00CA64C3"/>
    <w:rsid w:val="00CB1644"/>
    <w:rsid w:val="00CB165C"/>
    <w:rsid w:val="00CB5439"/>
    <w:rsid w:val="00CB6126"/>
    <w:rsid w:val="00CB7F04"/>
    <w:rsid w:val="00CC3BEC"/>
    <w:rsid w:val="00CC6B7D"/>
    <w:rsid w:val="00D03867"/>
    <w:rsid w:val="00D144E7"/>
    <w:rsid w:val="00D42373"/>
    <w:rsid w:val="00D43DF8"/>
    <w:rsid w:val="00D46F18"/>
    <w:rsid w:val="00D61A74"/>
    <w:rsid w:val="00D84355"/>
    <w:rsid w:val="00D90777"/>
    <w:rsid w:val="00D909F9"/>
    <w:rsid w:val="00D943F6"/>
    <w:rsid w:val="00DA5D42"/>
    <w:rsid w:val="00DC1DC4"/>
    <w:rsid w:val="00DE387E"/>
    <w:rsid w:val="00DE4B3E"/>
    <w:rsid w:val="00E037E8"/>
    <w:rsid w:val="00E14380"/>
    <w:rsid w:val="00E33F13"/>
    <w:rsid w:val="00E37939"/>
    <w:rsid w:val="00E42244"/>
    <w:rsid w:val="00E43B2B"/>
    <w:rsid w:val="00E5613D"/>
    <w:rsid w:val="00E566F0"/>
    <w:rsid w:val="00E56F81"/>
    <w:rsid w:val="00E70B2C"/>
    <w:rsid w:val="00E745B2"/>
    <w:rsid w:val="00E75010"/>
    <w:rsid w:val="00EA064E"/>
    <w:rsid w:val="00EC4A91"/>
    <w:rsid w:val="00ED48EB"/>
    <w:rsid w:val="00EE6DD6"/>
    <w:rsid w:val="00F20BE4"/>
    <w:rsid w:val="00F22B99"/>
    <w:rsid w:val="00F35E92"/>
    <w:rsid w:val="00F371B7"/>
    <w:rsid w:val="00F409DD"/>
    <w:rsid w:val="00F40A04"/>
    <w:rsid w:val="00F451FE"/>
    <w:rsid w:val="00F4736E"/>
    <w:rsid w:val="00F6364D"/>
    <w:rsid w:val="00F63676"/>
    <w:rsid w:val="00F649B4"/>
    <w:rsid w:val="00F6644F"/>
    <w:rsid w:val="00F73000"/>
    <w:rsid w:val="00F73027"/>
    <w:rsid w:val="00F86637"/>
    <w:rsid w:val="00FA306F"/>
    <w:rsid w:val="00FA610D"/>
    <w:rsid w:val="00FB7EA9"/>
    <w:rsid w:val="00FD5D2A"/>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E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7D0C"/>
    <w:pPr>
      <w:keepNext/>
      <w:autoSpaceDE/>
      <w:autoSpaceDN/>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411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7411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A7411B"/>
    <w:rPr>
      <w:rFonts w:ascii="Tahoma" w:hAnsi="Tahoma" w:cs="Tahoma"/>
      <w:sz w:val="16"/>
      <w:szCs w:val="16"/>
    </w:rPr>
  </w:style>
  <w:style w:type="character" w:customStyle="1" w:styleId="a4">
    <w:name w:val="Текст выноски Знак"/>
    <w:basedOn w:val="a0"/>
    <w:link w:val="a3"/>
    <w:uiPriority w:val="99"/>
    <w:semiHidden/>
    <w:rsid w:val="00A7411B"/>
    <w:rPr>
      <w:rFonts w:ascii="Tahoma" w:eastAsia="Times New Roman" w:hAnsi="Tahoma" w:cs="Tahoma"/>
      <w:sz w:val="16"/>
      <w:szCs w:val="16"/>
      <w:lang w:eastAsia="ru-RU"/>
    </w:rPr>
  </w:style>
  <w:style w:type="character" w:customStyle="1" w:styleId="10">
    <w:name w:val="Заголовок 1 Знак"/>
    <w:basedOn w:val="a0"/>
    <w:link w:val="1"/>
    <w:rsid w:val="00877D0C"/>
    <w:rPr>
      <w:rFonts w:ascii="Arial" w:eastAsia="Times New Roman" w:hAnsi="Arial" w:cs="Arial"/>
      <w:b/>
      <w:bCs/>
      <w:kern w:val="32"/>
      <w:sz w:val="32"/>
      <w:szCs w:val="32"/>
      <w:lang w:eastAsia="ru-RU"/>
    </w:rPr>
  </w:style>
  <w:style w:type="paragraph" w:styleId="3">
    <w:name w:val="Body Text 3"/>
    <w:basedOn w:val="a"/>
    <w:link w:val="30"/>
    <w:rsid w:val="00877D0C"/>
    <w:pPr>
      <w:autoSpaceDE/>
      <w:autoSpaceDN/>
    </w:pPr>
    <w:rPr>
      <w:sz w:val="23"/>
    </w:rPr>
  </w:style>
  <w:style w:type="character" w:customStyle="1" w:styleId="30">
    <w:name w:val="Основной текст 3 Знак"/>
    <w:basedOn w:val="a0"/>
    <w:link w:val="3"/>
    <w:rsid w:val="00877D0C"/>
    <w:rPr>
      <w:rFonts w:ascii="Times New Roman" w:eastAsia="Times New Roman" w:hAnsi="Times New Roman" w:cs="Times New Roman"/>
      <w:sz w:val="23"/>
      <w:szCs w:val="20"/>
      <w:lang w:eastAsia="ru-RU"/>
    </w:rPr>
  </w:style>
  <w:style w:type="paragraph" w:customStyle="1" w:styleId="p5">
    <w:name w:val="p5"/>
    <w:basedOn w:val="a"/>
    <w:rsid w:val="00911ACE"/>
    <w:pPr>
      <w:autoSpaceDE/>
      <w:autoSpaceDN/>
      <w:spacing w:before="100" w:beforeAutospacing="1" w:after="100" w:afterAutospacing="1"/>
    </w:pPr>
    <w:rPr>
      <w:sz w:val="24"/>
      <w:szCs w:val="24"/>
    </w:rPr>
  </w:style>
  <w:style w:type="character" w:customStyle="1" w:styleId="s1">
    <w:name w:val="s1"/>
    <w:basedOn w:val="a0"/>
    <w:rsid w:val="00911ACE"/>
  </w:style>
  <w:style w:type="paragraph" w:customStyle="1" w:styleId="p7">
    <w:name w:val="p7"/>
    <w:basedOn w:val="a"/>
    <w:rsid w:val="00911ACE"/>
    <w:pPr>
      <w:autoSpaceDE/>
      <w:autoSpaceDN/>
      <w:spacing w:before="100" w:beforeAutospacing="1" w:after="100" w:afterAutospacing="1"/>
    </w:pPr>
    <w:rPr>
      <w:sz w:val="24"/>
      <w:szCs w:val="24"/>
    </w:rPr>
  </w:style>
  <w:style w:type="character" w:customStyle="1" w:styleId="s2">
    <w:name w:val="s2"/>
    <w:basedOn w:val="a0"/>
    <w:rsid w:val="00911ACE"/>
  </w:style>
  <w:style w:type="paragraph" w:customStyle="1" w:styleId="p6">
    <w:name w:val="p6"/>
    <w:basedOn w:val="a"/>
    <w:rsid w:val="00911ACE"/>
    <w:pPr>
      <w:autoSpaceDE/>
      <w:autoSpaceDN/>
      <w:spacing w:before="100" w:beforeAutospacing="1" w:after="100" w:afterAutospacing="1"/>
    </w:pPr>
    <w:rPr>
      <w:sz w:val="24"/>
      <w:szCs w:val="24"/>
    </w:rPr>
  </w:style>
  <w:style w:type="paragraph" w:customStyle="1" w:styleId="p9">
    <w:name w:val="p9"/>
    <w:basedOn w:val="a"/>
    <w:rsid w:val="00911ACE"/>
    <w:pPr>
      <w:autoSpaceDE/>
      <w:autoSpaceDN/>
      <w:spacing w:before="100" w:beforeAutospacing="1" w:after="100" w:afterAutospacing="1"/>
    </w:pPr>
    <w:rPr>
      <w:sz w:val="24"/>
      <w:szCs w:val="24"/>
    </w:rPr>
  </w:style>
  <w:style w:type="paragraph" w:customStyle="1" w:styleId="p10">
    <w:name w:val="p10"/>
    <w:basedOn w:val="a"/>
    <w:rsid w:val="00911ACE"/>
    <w:pPr>
      <w:autoSpaceDE/>
      <w:autoSpaceDN/>
      <w:spacing w:before="100" w:beforeAutospacing="1" w:after="100" w:afterAutospacing="1"/>
    </w:pPr>
    <w:rPr>
      <w:sz w:val="24"/>
      <w:szCs w:val="24"/>
    </w:rPr>
  </w:style>
  <w:style w:type="paragraph" w:styleId="a5">
    <w:name w:val="No Spacing"/>
    <w:uiPriority w:val="1"/>
    <w:qFormat/>
    <w:rsid w:val="0089286A"/>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Title"/>
    <w:basedOn w:val="a"/>
    <w:link w:val="a7"/>
    <w:qFormat/>
    <w:rsid w:val="008E47C5"/>
    <w:pPr>
      <w:autoSpaceDE/>
      <w:autoSpaceDN/>
      <w:jc w:val="center"/>
    </w:pPr>
    <w:rPr>
      <w:sz w:val="32"/>
    </w:rPr>
  </w:style>
  <w:style w:type="character" w:customStyle="1" w:styleId="a7">
    <w:name w:val="Название Знак"/>
    <w:basedOn w:val="a0"/>
    <w:link w:val="a6"/>
    <w:rsid w:val="008E47C5"/>
    <w:rPr>
      <w:rFonts w:ascii="Times New Roman" w:eastAsia="Times New Roman" w:hAnsi="Times New Roman" w:cs="Times New Roman"/>
      <w:sz w:val="32"/>
      <w:szCs w:val="20"/>
      <w:lang w:eastAsia="ru-RU"/>
    </w:rPr>
  </w:style>
  <w:style w:type="paragraph" w:styleId="a8">
    <w:name w:val="List Paragraph"/>
    <w:basedOn w:val="a"/>
    <w:uiPriority w:val="34"/>
    <w:qFormat/>
    <w:rsid w:val="00F35E92"/>
    <w:pPr>
      <w:ind w:left="720"/>
      <w:contextualSpacing/>
    </w:pPr>
  </w:style>
  <w:style w:type="table" w:styleId="a9">
    <w:name w:val="Table Grid"/>
    <w:basedOn w:val="a1"/>
    <w:uiPriority w:val="59"/>
    <w:rsid w:val="00CB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F67C9"/>
    <w:rPr>
      <w:rFonts w:ascii="Arial" w:hAnsi="Arial" w:cs="Arial"/>
      <w:sz w:val="20"/>
      <w:szCs w:val="20"/>
    </w:rPr>
  </w:style>
  <w:style w:type="paragraph" w:customStyle="1" w:styleId="formattext">
    <w:name w:val="formattext"/>
    <w:basedOn w:val="a"/>
    <w:rsid w:val="00C9242C"/>
    <w:pPr>
      <w:autoSpaceDE/>
      <w:autoSpaceDN/>
      <w:spacing w:before="100" w:beforeAutospacing="1" w:after="100" w:afterAutospacing="1"/>
    </w:pPr>
    <w:rPr>
      <w:sz w:val="24"/>
      <w:szCs w:val="24"/>
    </w:rPr>
  </w:style>
  <w:style w:type="paragraph" w:styleId="aa">
    <w:name w:val="header"/>
    <w:basedOn w:val="a"/>
    <w:link w:val="ab"/>
    <w:uiPriority w:val="99"/>
    <w:semiHidden/>
    <w:unhideWhenUsed/>
    <w:rsid w:val="00491ADB"/>
    <w:pPr>
      <w:tabs>
        <w:tab w:val="center" w:pos="4677"/>
        <w:tab w:val="right" w:pos="9355"/>
      </w:tabs>
    </w:pPr>
  </w:style>
  <w:style w:type="character" w:customStyle="1" w:styleId="ab">
    <w:name w:val="Верхний колонтитул Знак"/>
    <w:basedOn w:val="a0"/>
    <w:link w:val="aa"/>
    <w:uiPriority w:val="99"/>
    <w:semiHidden/>
    <w:rsid w:val="00491ADB"/>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491ADB"/>
    <w:pPr>
      <w:tabs>
        <w:tab w:val="center" w:pos="4677"/>
        <w:tab w:val="right" w:pos="9355"/>
      </w:tabs>
    </w:pPr>
  </w:style>
  <w:style w:type="character" w:customStyle="1" w:styleId="ad">
    <w:name w:val="Нижний колонтитул Знак"/>
    <w:basedOn w:val="a0"/>
    <w:link w:val="ac"/>
    <w:uiPriority w:val="99"/>
    <w:semiHidden/>
    <w:rsid w:val="00491A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5959735">
      <w:bodyDiv w:val="1"/>
      <w:marLeft w:val="0"/>
      <w:marRight w:val="0"/>
      <w:marTop w:val="0"/>
      <w:marBottom w:val="0"/>
      <w:divBdr>
        <w:top w:val="none" w:sz="0" w:space="0" w:color="auto"/>
        <w:left w:val="none" w:sz="0" w:space="0" w:color="auto"/>
        <w:bottom w:val="none" w:sz="0" w:space="0" w:color="auto"/>
        <w:right w:val="none" w:sz="0" w:space="0" w:color="auto"/>
      </w:divBdr>
    </w:div>
    <w:div w:id="903293336">
      <w:bodyDiv w:val="1"/>
      <w:marLeft w:val="0"/>
      <w:marRight w:val="0"/>
      <w:marTop w:val="0"/>
      <w:marBottom w:val="0"/>
      <w:divBdr>
        <w:top w:val="none" w:sz="0" w:space="0" w:color="auto"/>
        <w:left w:val="none" w:sz="0" w:space="0" w:color="auto"/>
        <w:bottom w:val="none" w:sz="0" w:space="0" w:color="auto"/>
        <w:right w:val="none" w:sz="0" w:space="0" w:color="auto"/>
      </w:divBdr>
    </w:div>
    <w:div w:id="150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7386213">
          <w:marLeft w:val="0"/>
          <w:marRight w:val="0"/>
          <w:marTop w:val="0"/>
          <w:marBottom w:val="0"/>
          <w:divBdr>
            <w:top w:val="none" w:sz="0" w:space="0" w:color="auto"/>
            <w:left w:val="none" w:sz="0" w:space="0" w:color="auto"/>
            <w:bottom w:val="none" w:sz="0" w:space="0" w:color="auto"/>
            <w:right w:val="none" w:sz="0" w:space="0" w:color="auto"/>
          </w:divBdr>
          <w:divsChild>
            <w:div w:id="722631071">
              <w:marLeft w:val="0"/>
              <w:marRight w:val="0"/>
              <w:marTop w:val="0"/>
              <w:marBottom w:val="0"/>
              <w:divBdr>
                <w:top w:val="none" w:sz="0" w:space="0" w:color="auto"/>
                <w:left w:val="none" w:sz="0" w:space="0" w:color="auto"/>
                <w:bottom w:val="none" w:sz="0" w:space="0" w:color="auto"/>
                <w:right w:val="none" w:sz="0" w:space="0" w:color="auto"/>
              </w:divBdr>
              <w:divsChild>
                <w:div w:id="1587230732">
                  <w:marLeft w:val="0"/>
                  <w:marRight w:val="0"/>
                  <w:marTop w:val="0"/>
                  <w:marBottom w:val="0"/>
                  <w:divBdr>
                    <w:top w:val="none" w:sz="0" w:space="0" w:color="auto"/>
                    <w:left w:val="none" w:sz="0" w:space="0" w:color="auto"/>
                    <w:bottom w:val="none" w:sz="0" w:space="0" w:color="auto"/>
                    <w:right w:val="none" w:sz="0" w:space="0" w:color="auto"/>
                  </w:divBdr>
                  <w:divsChild>
                    <w:div w:id="1232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6B50D2A236555D1986A608D7FAF19A3DD3AE8A474AF5DAB78CB66FDF06A9711A23E7AAA36A21970E6479A22E9N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6B50D2A236555D1986A608D7FAF19A4D53CECA574AF5DAB78CB66FDF06A9711A23E7AAA36A21970E6479A22E9N1J" TargetMode="External"/><Relationship Id="rId5" Type="http://schemas.openxmlformats.org/officeDocument/2006/relationships/webSettings" Target="webSettings.xml"/><Relationship Id="rId10" Type="http://schemas.openxmlformats.org/officeDocument/2006/relationships/hyperlink" Target="consultantplus://offline/ref=E3DE5C45A1D7BF526F5B8F6414C43A279A0CBEFC61B0C6B6388CE882BEBB9E3463F46042A621EBEC237C06B28CtAg3E" TargetMode="External"/><Relationship Id="rId4" Type="http://schemas.openxmlformats.org/officeDocument/2006/relationships/settings" Target="settings.xml"/><Relationship Id="rId9" Type="http://schemas.openxmlformats.org/officeDocument/2006/relationships/hyperlink" Target="consultantplus://offline/ref=E3DE5C45A1D7BF526F5B8F6414C43A279A0CBBFE61B6C6B6388CE882BEBB9E3463F46042A621EBEC237C06B28CtAg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19917-4E3A-4F89-8926-531C9E03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8</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Гавриленко</cp:lastModifiedBy>
  <cp:revision>49</cp:revision>
  <cp:lastPrinted>2022-12-29T04:31:00Z</cp:lastPrinted>
  <dcterms:created xsi:type="dcterms:W3CDTF">2016-10-26T09:30:00Z</dcterms:created>
  <dcterms:modified xsi:type="dcterms:W3CDTF">2023-05-26T05:44:00Z</dcterms:modified>
</cp:coreProperties>
</file>