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71" w:rsidRPr="00566371" w:rsidRDefault="00494AF6" w:rsidP="00713C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4504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 w:rsidR="00DB4AE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66371" w:rsidRPr="00713C85">
        <w:rPr>
          <w:rFonts w:ascii="Times New Roman" w:hAnsi="Times New Roman" w:cs="Times New Roman"/>
          <w:i/>
          <w:sz w:val="28"/>
          <w:szCs w:val="28"/>
        </w:rPr>
        <w:t>:</w:t>
      </w:r>
      <w:r w:rsidR="00DB4A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6371" w:rsidRPr="00713C85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DB4AE4" w:rsidRPr="00DB4AE4">
        <w:rPr>
          <w:rFonts w:ascii="Times New Roman" w:hAnsi="Times New Roman" w:cs="Times New Roman"/>
          <w:i/>
          <w:sz w:val="28"/>
          <w:szCs w:val="28"/>
          <w:u w:val="single"/>
        </w:rPr>
        <w:t>Информирование о создании условий развития инвестиционной деятельности</w:t>
      </w:r>
      <w:proofErr w:type="gramStart"/>
      <w:r w:rsidR="00DB4AE4" w:rsidRPr="00DB4AE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566371" w:rsidRPr="00566371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494AF6" w:rsidRDefault="00494AF6" w:rsidP="00494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AE4" w:rsidRPr="00DD64B1" w:rsidRDefault="00DB4AE4" w:rsidP="00DB4A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64B1">
        <w:rPr>
          <w:rFonts w:ascii="Times New Roman" w:hAnsi="Times New Roman"/>
          <w:sz w:val="24"/>
          <w:szCs w:val="24"/>
        </w:rPr>
        <w:t xml:space="preserve">Привлечение инвестиций в экономику </w:t>
      </w:r>
      <w:r>
        <w:rPr>
          <w:rFonts w:ascii="Times New Roman" w:hAnsi="Times New Roman"/>
          <w:sz w:val="24"/>
          <w:szCs w:val="24"/>
        </w:rPr>
        <w:t xml:space="preserve">в городской округ </w:t>
      </w:r>
      <w:r w:rsidRPr="00DD64B1">
        <w:rPr>
          <w:rFonts w:ascii="Times New Roman" w:hAnsi="Times New Roman"/>
          <w:sz w:val="24"/>
          <w:szCs w:val="24"/>
        </w:rPr>
        <w:t xml:space="preserve">Урай остается приоритетной стратегической задачей, стоящей перед администрацией города Урай. </w:t>
      </w:r>
    </w:p>
    <w:p w:rsidR="00DB4AE4" w:rsidRDefault="00DB4AE4" w:rsidP="00DB4A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636A">
        <w:rPr>
          <w:rFonts w:ascii="Times New Roman" w:hAnsi="Times New Roman"/>
          <w:b/>
          <w:sz w:val="24"/>
          <w:szCs w:val="24"/>
        </w:rPr>
        <w:t>Объем инвестиций</w:t>
      </w:r>
      <w:r w:rsidRPr="00DD64B1">
        <w:rPr>
          <w:rFonts w:ascii="Times New Roman" w:hAnsi="Times New Roman"/>
          <w:sz w:val="24"/>
          <w:szCs w:val="24"/>
        </w:rPr>
        <w:t xml:space="preserve"> в основной капитал организаций (без субъектов малого предпринимательства и объема инвестиций, не наблюдаемых прямыми статистическими методами) по городу Урай за 2020 год </w:t>
      </w:r>
      <w:r>
        <w:rPr>
          <w:rFonts w:ascii="Times New Roman" w:hAnsi="Times New Roman"/>
          <w:sz w:val="24"/>
          <w:szCs w:val="24"/>
        </w:rPr>
        <w:t>составил 4071,26</w:t>
      </w:r>
      <w:r w:rsidRPr="00DD64B1">
        <w:rPr>
          <w:rFonts w:ascii="Times New Roman" w:hAnsi="Times New Roman"/>
          <w:sz w:val="24"/>
          <w:szCs w:val="24"/>
        </w:rPr>
        <w:t xml:space="preserve"> млн. рублей, к соответствующему периоду 2019 года (в фактических ценах) показатель </w:t>
      </w:r>
      <w:r>
        <w:rPr>
          <w:rFonts w:ascii="Times New Roman" w:hAnsi="Times New Roman"/>
          <w:sz w:val="24"/>
          <w:szCs w:val="24"/>
        </w:rPr>
        <w:t>снизился и составил 97,7</w:t>
      </w:r>
      <w:r w:rsidRPr="00DD64B1">
        <w:rPr>
          <w:rFonts w:ascii="Times New Roman" w:hAnsi="Times New Roman"/>
          <w:sz w:val="24"/>
          <w:szCs w:val="24"/>
        </w:rPr>
        <w:t xml:space="preserve">%. </w:t>
      </w:r>
    </w:p>
    <w:p w:rsidR="00DB4AE4" w:rsidRPr="00DD64B1" w:rsidRDefault="00DB4AE4" w:rsidP="00DB4A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430">
        <w:rPr>
          <w:rFonts w:ascii="Times New Roman" w:hAnsi="Times New Roman"/>
          <w:sz w:val="24"/>
          <w:szCs w:val="24"/>
        </w:rPr>
        <w:t>В структуре инвестиций наибольший удельный вес</w:t>
      </w:r>
      <w:r>
        <w:rPr>
          <w:rFonts w:ascii="Times New Roman" w:hAnsi="Times New Roman"/>
          <w:sz w:val="24"/>
          <w:szCs w:val="24"/>
        </w:rPr>
        <w:t xml:space="preserve"> (75,3%)</w:t>
      </w:r>
      <w:r w:rsidRPr="00554430">
        <w:rPr>
          <w:rFonts w:ascii="Times New Roman" w:hAnsi="Times New Roman"/>
          <w:sz w:val="24"/>
          <w:szCs w:val="24"/>
        </w:rPr>
        <w:t xml:space="preserve"> приходится на топливно-энергетический комплекс</w:t>
      </w:r>
      <w:r>
        <w:rPr>
          <w:rFonts w:ascii="Times New Roman" w:hAnsi="Times New Roman"/>
          <w:sz w:val="24"/>
          <w:szCs w:val="24"/>
        </w:rPr>
        <w:t>.</w:t>
      </w:r>
    </w:p>
    <w:p w:rsidR="00DB4AE4" w:rsidRPr="00DD64B1" w:rsidRDefault="00DB4AE4" w:rsidP="00DB4AE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D64B1">
        <w:rPr>
          <w:rFonts w:ascii="Times New Roman" w:hAnsi="Times New Roman"/>
          <w:sz w:val="24"/>
          <w:szCs w:val="24"/>
        </w:rPr>
        <w:t xml:space="preserve">Объем инвестиций в основной капитал (за исключением бюджетных средств) в расчете на 1 жителя </w:t>
      </w:r>
      <w:r>
        <w:rPr>
          <w:rFonts w:ascii="Times New Roman" w:hAnsi="Times New Roman"/>
          <w:sz w:val="24"/>
          <w:szCs w:val="24"/>
        </w:rPr>
        <w:t>составил</w:t>
      </w:r>
      <w:r w:rsidRPr="00DD64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90958</w:t>
      </w:r>
      <w:r w:rsidRPr="00DD64B1">
        <w:rPr>
          <w:rFonts w:ascii="Times New Roman" w:hAnsi="Times New Roman"/>
          <w:sz w:val="24"/>
          <w:szCs w:val="24"/>
        </w:rPr>
        <w:t xml:space="preserve"> рублей.</w:t>
      </w:r>
    </w:p>
    <w:p w:rsidR="00DB4AE4" w:rsidRPr="00554430" w:rsidRDefault="00DB4AE4" w:rsidP="00DB4A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4430">
        <w:rPr>
          <w:rFonts w:ascii="Times New Roman" w:hAnsi="Times New Roman"/>
          <w:sz w:val="24"/>
          <w:szCs w:val="24"/>
        </w:rPr>
        <w:t>На территории муниципального образования в 2020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430">
        <w:rPr>
          <w:rFonts w:ascii="Times New Roman" w:hAnsi="Times New Roman"/>
          <w:sz w:val="24"/>
          <w:szCs w:val="24"/>
        </w:rPr>
        <w:t>реализовано 25 проектов инвестиционной емкостью более 500,0 млн.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B4AE4" w:rsidRDefault="00DB4AE4" w:rsidP="00DB4A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1535">
        <w:rPr>
          <w:rFonts w:ascii="Times New Roman" w:hAnsi="Times New Roman"/>
          <w:sz w:val="24"/>
          <w:szCs w:val="24"/>
        </w:rPr>
        <w:t xml:space="preserve">В стадии реализации на территории муниципального образования 16 проектов инвестиционной емкостью более 600,0 млн. рублей. Планируется к созданию </w:t>
      </w:r>
      <w:r>
        <w:rPr>
          <w:rFonts w:ascii="Times New Roman" w:hAnsi="Times New Roman"/>
          <w:sz w:val="24"/>
          <w:szCs w:val="24"/>
        </w:rPr>
        <w:t xml:space="preserve">порядка </w:t>
      </w:r>
      <w:r w:rsidRPr="003C1535">
        <w:rPr>
          <w:rFonts w:ascii="Times New Roman" w:hAnsi="Times New Roman"/>
          <w:sz w:val="24"/>
          <w:szCs w:val="24"/>
        </w:rPr>
        <w:t>100 рабочих мест.</w:t>
      </w:r>
    </w:p>
    <w:p w:rsidR="00DB4AE4" w:rsidRPr="001960A9" w:rsidRDefault="00DB4AE4" w:rsidP="001960A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60A9">
        <w:rPr>
          <w:rFonts w:ascii="Times New Roman" w:hAnsi="Times New Roman"/>
          <w:sz w:val="24"/>
          <w:szCs w:val="24"/>
        </w:rPr>
        <w:t>С начала 2020 года в социальной сети «</w:t>
      </w:r>
      <w:proofErr w:type="spellStart"/>
      <w:r w:rsidRPr="001960A9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1960A9">
        <w:rPr>
          <w:rFonts w:ascii="Times New Roman" w:hAnsi="Times New Roman"/>
          <w:sz w:val="24"/>
          <w:szCs w:val="24"/>
        </w:rPr>
        <w:t xml:space="preserve">» в группе для инвесторов и  предпринимателей «Бизнес-портал Урая», а также в информационном </w:t>
      </w:r>
      <w:proofErr w:type="spellStart"/>
      <w:r w:rsidRPr="001960A9">
        <w:rPr>
          <w:rFonts w:ascii="Times New Roman" w:hAnsi="Times New Roman"/>
          <w:sz w:val="24"/>
          <w:szCs w:val="24"/>
        </w:rPr>
        <w:t>аккаунте</w:t>
      </w:r>
      <w:proofErr w:type="spellEnd"/>
      <w:r w:rsidRPr="001960A9">
        <w:rPr>
          <w:rFonts w:ascii="Times New Roman" w:hAnsi="Times New Roman"/>
          <w:sz w:val="24"/>
          <w:szCs w:val="24"/>
        </w:rPr>
        <w:t xml:space="preserve"> «Экономика Урая» в сети «Instagram» на постоянной основе проводятся оповещения </w:t>
      </w:r>
      <w:proofErr w:type="spellStart"/>
      <w:r w:rsidRPr="001960A9">
        <w:rPr>
          <w:rFonts w:ascii="Times New Roman" w:hAnsi="Times New Roman"/>
          <w:sz w:val="24"/>
          <w:szCs w:val="24"/>
        </w:rPr>
        <w:t>бизнес-сообщества</w:t>
      </w:r>
      <w:proofErr w:type="spellEnd"/>
      <w:r w:rsidRPr="001960A9">
        <w:rPr>
          <w:rFonts w:ascii="Times New Roman" w:hAnsi="Times New Roman"/>
          <w:sz w:val="24"/>
          <w:szCs w:val="24"/>
        </w:rPr>
        <w:t xml:space="preserve"> о важных </w:t>
      </w:r>
      <w:proofErr w:type="spellStart"/>
      <w:r w:rsidRPr="001960A9">
        <w:rPr>
          <w:rFonts w:ascii="Times New Roman" w:hAnsi="Times New Roman"/>
          <w:sz w:val="24"/>
          <w:szCs w:val="24"/>
        </w:rPr>
        <w:t>бизнес-событиях</w:t>
      </w:r>
      <w:proofErr w:type="spellEnd"/>
      <w:r w:rsidRPr="001960A9">
        <w:rPr>
          <w:rFonts w:ascii="Times New Roman" w:hAnsi="Times New Roman"/>
          <w:sz w:val="24"/>
          <w:szCs w:val="24"/>
        </w:rPr>
        <w:t>, новостной информацией, о проводимых мероприятиях и опросах на территории города и округа в целом.</w:t>
      </w:r>
      <w:proofErr w:type="gramEnd"/>
    </w:p>
    <w:p w:rsidR="00DB4AE4" w:rsidRPr="004A30E1" w:rsidRDefault="00DB4AE4" w:rsidP="00DB4AE4">
      <w:pPr>
        <w:pStyle w:val="ae"/>
        <w:ind w:firstLine="567"/>
        <w:rPr>
          <w:szCs w:val="24"/>
        </w:rPr>
      </w:pPr>
    </w:p>
    <w:p w:rsidR="00DB4AE4" w:rsidRPr="00CC636A" w:rsidRDefault="00DB4AE4" w:rsidP="00DB4AE4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CC636A">
        <w:rPr>
          <w:rFonts w:ascii="Times New Roman" w:hAnsi="Times New Roman"/>
          <w:b/>
          <w:sz w:val="24"/>
          <w:szCs w:val="24"/>
        </w:rPr>
        <w:t>Для улучшения инвестиционного климата в 2020 году реализованы следующие мероприятия: </w:t>
      </w:r>
    </w:p>
    <w:p w:rsidR="00DB4AE4" w:rsidRPr="00DD64B1" w:rsidRDefault="00DB4AE4" w:rsidP="00DB4AE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D64B1">
        <w:rPr>
          <w:rFonts w:ascii="Times New Roman" w:hAnsi="Times New Roman"/>
          <w:sz w:val="24"/>
          <w:szCs w:val="24"/>
        </w:rPr>
        <w:t xml:space="preserve">- снижена налоговая нагрузка на индивидуальных предпринимателей, в части введения дифференцированного подхода в отношении размера установленной налоговой ставки, </w:t>
      </w:r>
      <w:r w:rsidRPr="00DD64B1">
        <w:rPr>
          <w:rFonts w:ascii="Times New Roman" w:hAnsi="Times New Roman"/>
          <w:spacing w:val="4"/>
          <w:sz w:val="24"/>
          <w:szCs w:val="24"/>
        </w:rPr>
        <w:t>в результате которого</w:t>
      </w:r>
      <w:r w:rsidRPr="00DD64B1">
        <w:rPr>
          <w:rFonts w:ascii="Times New Roman" w:hAnsi="Times New Roman"/>
          <w:sz w:val="24"/>
          <w:szCs w:val="24"/>
        </w:rPr>
        <w:t xml:space="preserve">, ставка снизилась с 2,0% до 1,5%;  </w:t>
      </w:r>
    </w:p>
    <w:p w:rsidR="00DB4AE4" w:rsidRPr="00DD64B1" w:rsidRDefault="00DB4AE4" w:rsidP="00DB4AE4">
      <w:pPr>
        <w:pStyle w:val="a9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D64B1">
        <w:rPr>
          <w:rFonts w:ascii="Times New Roman" w:hAnsi="Times New Roman"/>
          <w:sz w:val="24"/>
          <w:szCs w:val="24"/>
        </w:rPr>
        <w:t>- сокращены сроки по подготовке и выдаче градостроительных планов земельных участков с 11 до 10 рабочих дней;</w:t>
      </w:r>
    </w:p>
    <w:p w:rsidR="00DB4AE4" w:rsidRPr="00DD64B1" w:rsidRDefault="00DB4AE4" w:rsidP="00DB4AE4">
      <w:pPr>
        <w:pStyle w:val="a9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D64B1">
        <w:rPr>
          <w:rFonts w:ascii="Times New Roman" w:hAnsi="Times New Roman"/>
          <w:sz w:val="24"/>
          <w:szCs w:val="24"/>
        </w:rPr>
        <w:t xml:space="preserve">- сокращены сроки по выдаче разрешения на строительство с 7 до 3 рабочих дней;  </w:t>
      </w:r>
    </w:p>
    <w:p w:rsidR="00DB4AE4" w:rsidRDefault="00DB4AE4" w:rsidP="00DB4AE4">
      <w:pPr>
        <w:pStyle w:val="a7"/>
        <w:spacing w:before="0" w:beforeAutospacing="0" w:after="0" w:afterAutospacing="0"/>
        <w:ind w:right="-1" w:firstLine="567"/>
        <w:jc w:val="both"/>
      </w:pPr>
      <w:r w:rsidRPr="00DD64B1">
        <w:t>- передано 28 муниципальных объектов недвижимого имущества недвижимого имущества (в том числе части помещений), включая не используемые по назначению, негосударственным немуниципальным) организациям с п</w:t>
      </w:r>
      <w:r w:rsidRPr="00D15634">
        <w:t>рименением механизмов муниципального частного партнерства, с обязательством сохранения целевого назначения и использования объекта недвижимого имущества</w:t>
      </w:r>
      <w:r>
        <w:t>.</w:t>
      </w:r>
    </w:p>
    <w:p w:rsidR="00DB4AE4" w:rsidRDefault="00DB4AE4" w:rsidP="00DB4AE4">
      <w:pPr>
        <w:pStyle w:val="consplusnormalmrcssattr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</w:pPr>
      <w:r>
        <w:t>На официальном сайте органов местного самоуправления в разделе «Инвестиционная политика» (</w:t>
      </w:r>
      <w:hyperlink r:id="rId5" w:history="1">
        <w:r w:rsidRPr="00861D5C">
          <w:rPr>
            <w:rStyle w:val="a4"/>
          </w:rPr>
          <w:t>http://uray.ru/investitsionnaya-politika-goroda/</w:t>
        </w:r>
      </w:hyperlink>
      <w:r>
        <w:t>) размещен к</w:t>
      </w:r>
      <w:r w:rsidRPr="003C1535">
        <w:t>омплекс нормативных правовых актов, устанавливающих основные направления инвестиционной политики</w:t>
      </w:r>
      <w:r>
        <w:t xml:space="preserve"> в городе Урай. </w:t>
      </w:r>
    </w:p>
    <w:p w:rsidR="00DB4AE4" w:rsidRPr="00EF7BF9" w:rsidRDefault="00DB4AE4" w:rsidP="00DB4AE4">
      <w:pPr>
        <w:pStyle w:val="Default"/>
        <w:ind w:firstLine="709"/>
        <w:jc w:val="both"/>
      </w:pPr>
      <w:r>
        <w:rPr>
          <w:color w:val="auto"/>
        </w:rPr>
        <w:t xml:space="preserve">В целях обеспечения благоприятного инвестиционного климата в городе Урай постановлением администрации города Урай от 29.05.2020 №1241 утвержден план мероприятий («дорожная карта»), в соответствии с которым </w:t>
      </w:r>
      <w:r>
        <w:t xml:space="preserve">в 2020 году </w:t>
      </w:r>
      <w:r>
        <w:rPr>
          <w:color w:val="auto"/>
        </w:rPr>
        <w:t xml:space="preserve">предусмотрены и </w:t>
      </w:r>
      <w:r>
        <w:t xml:space="preserve">реализованы в полном объеме 24 мероприятия и 10 </w:t>
      </w:r>
      <w:r w:rsidRPr="00EF7BF9">
        <w:t>контрольных показателей</w:t>
      </w:r>
      <w:r>
        <w:t xml:space="preserve">. Однако, при </w:t>
      </w:r>
      <w:r w:rsidRPr="00EF7BF9">
        <w:t>сложивши</w:t>
      </w:r>
      <w:r>
        <w:t>хся условиях</w:t>
      </w:r>
      <w:r w:rsidRPr="00EF7BF9">
        <w:t xml:space="preserve"> в связи с  распространением коронавирусной инфекции</w:t>
      </w:r>
      <w:r>
        <w:t xml:space="preserve"> з</w:t>
      </w:r>
      <w:r w:rsidRPr="00EF7BF9">
        <w:t xml:space="preserve">начение показателя «Число субъектов малого и среднего предпринимательства» по итогам 2020 года </w:t>
      </w:r>
      <w:r>
        <w:t xml:space="preserve">снизилось и </w:t>
      </w:r>
      <w:r w:rsidRPr="00EF7BF9">
        <w:t xml:space="preserve">составило 1299 единиц при плановом значении 1401 единиц. </w:t>
      </w:r>
      <w:r>
        <w:t>Также н</w:t>
      </w:r>
      <w:r w:rsidRPr="00EF7BF9">
        <w:t xml:space="preserve">а </w:t>
      </w:r>
      <w:proofErr w:type="spellStart"/>
      <w:r w:rsidRPr="00EF7BF9">
        <w:t>недостижение</w:t>
      </w:r>
      <w:proofErr w:type="spellEnd"/>
      <w:r w:rsidRPr="00EF7BF9">
        <w:t xml:space="preserve"> показателя  повлиял</w:t>
      </w:r>
      <w:r>
        <w:t xml:space="preserve">а </w:t>
      </w:r>
      <w:r w:rsidRPr="00EF7BF9">
        <w:t xml:space="preserve">особенность (условия) программного обеспечения ведения реестра субъектов МСП ФНС (субъекты МСП не сдавшие отчёты исключаются из реестра субъектов предпринимательства, при этом продолжают осуществлять </w:t>
      </w:r>
      <w:r w:rsidRPr="00EF7BF9">
        <w:lastRenderedPageBreak/>
        <w:t>деятельность).    </w:t>
      </w:r>
      <w:r>
        <w:t xml:space="preserve">Как следствие, </w:t>
      </w:r>
      <w:r w:rsidRPr="00EF7BF9">
        <w:t xml:space="preserve">в 2020 году </w:t>
      </w:r>
      <w:r>
        <w:t>за</w:t>
      </w:r>
      <w:r w:rsidRPr="00EF7BF9">
        <w:t>фиксир</w:t>
      </w:r>
      <w:r>
        <w:t>овано</w:t>
      </w:r>
      <w:r w:rsidRPr="00EF7BF9">
        <w:t xml:space="preserve"> снижение  налоговых поступлений от деятельности субъектов МСП в бюджет города. За 2020 год они ниже показателей 2019 года, и составляют 91,0%  (138,4 млн. руб.  к  152,03 млн. руб.). Таким образом, на снижение показателя повлияли косвенные причины и соответственно прямого неисполнения (некачественного исполнения) функций ответственных исполнителей не усматривается.</w:t>
      </w:r>
    </w:p>
    <w:p w:rsidR="00DB4AE4" w:rsidRDefault="00DB4AE4" w:rsidP="00DB4AE4">
      <w:pPr>
        <w:pStyle w:val="a7"/>
        <w:spacing w:before="0" w:beforeAutospacing="0" w:after="0" w:afterAutospacing="0"/>
        <w:ind w:right="-1" w:firstLine="567"/>
        <w:jc w:val="both"/>
      </w:pPr>
      <w:r w:rsidRPr="00FB4B76">
        <w:t xml:space="preserve"> Со сравнительным анализом достижения целевых показателей 2019 года и 2020 года, а также с выполне</w:t>
      </w:r>
      <w:r>
        <w:t xml:space="preserve">нными </w:t>
      </w:r>
      <w:r w:rsidRPr="00FB4B76">
        <w:t xml:space="preserve"> мероприяти</w:t>
      </w:r>
      <w:r>
        <w:t xml:space="preserve">ями дорожной карты можно ознакомиться на официальном сайте органов местного самоуправления </w:t>
      </w:r>
      <w:r w:rsidRPr="00FB4B76">
        <w:t>в разделе «Инвестиционная деятельность»</w:t>
      </w:r>
      <w:r>
        <w:rPr>
          <w:b/>
        </w:rPr>
        <w:t xml:space="preserve"> </w:t>
      </w:r>
      <w:r w:rsidRPr="00FB4B76">
        <w:t>(</w:t>
      </w:r>
      <w:hyperlink r:id="rId6" w:history="1">
        <w:r w:rsidRPr="00861D5C">
          <w:rPr>
            <w:rStyle w:val="a4"/>
          </w:rPr>
          <w:t>http://uray.ru/investicionnaja-politika/</w:t>
        </w:r>
      </w:hyperlink>
      <w:r>
        <w:t xml:space="preserve">). </w:t>
      </w:r>
    </w:p>
    <w:p w:rsidR="003E57A8" w:rsidRDefault="003E57A8" w:rsidP="002C3E7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11E2F" w:rsidRPr="00F44504" w:rsidRDefault="00611E2F" w:rsidP="00494AF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94AF6" w:rsidRDefault="00494AF6" w:rsidP="00494AF6">
      <w:pPr>
        <w:pStyle w:val="a7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1960A9">
        <w:rPr>
          <w:b/>
          <w:i/>
        </w:rPr>
        <w:t>Никитина Татьяна Валерьевна</w:t>
      </w:r>
      <w:r w:rsidRPr="0062393F">
        <w:rPr>
          <w:i/>
        </w:rPr>
        <w:t>,</w:t>
      </w:r>
    </w:p>
    <w:p w:rsidR="00B978BD" w:rsidRPr="00B978BD" w:rsidRDefault="001960A9" w:rsidP="00B978BD">
      <w:pPr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60A9">
        <w:rPr>
          <w:rFonts w:ascii="Times New Roman" w:eastAsia="Times New Roman" w:hAnsi="Times New Roman" w:cs="Times New Roman"/>
          <w:i/>
          <w:sz w:val="24"/>
          <w:szCs w:val="24"/>
        </w:rPr>
        <w:t>начальник отдела по инвестициям и проектному управлению управления экономического развития администрации города Урай</w:t>
      </w:r>
    </w:p>
    <w:p w:rsidR="0051155F" w:rsidRPr="00F91499" w:rsidRDefault="0051155F" w:rsidP="00B978BD">
      <w:pPr>
        <w:pStyle w:val="a7"/>
        <w:spacing w:before="0" w:beforeAutospacing="0" w:after="0" w:afterAutospacing="0"/>
        <w:jc w:val="right"/>
        <w:rPr>
          <w:i/>
        </w:rPr>
      </w:pPr>
    </w:p>
    <w:sectPr w:rsidR="0051155F" w:rsidRPr="00F91499" w:rsidSect="00566371">
      <w:pgSz w:w="11906" w:h="16838"/>
      <w:pgMar w:top="1134" w:right="99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6C9"/>
    <w:multiLevelType w:val="hybridMultilevel"/>
    <w:tmpl w:val="4C3E3C4A"/>
    <w:lvl w:ilvl="0" w:tplc="976CA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74F"/>
    <w:multiLevelType w:val="hybridMultilevel"/>
    <w:tmpl w:val="2250A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0D0ED2"/>
    <w:multiLevelType w:val="hybridMultilevel"/>
    <w:tmpl w:val="B9B8535A"/>
    <w:lvl w:ilvl="0" w:tplc="B0EE1F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57728C3"/>
    <w:multiLevelType w:val="hybridMultilevel"/>
    <w:tmpl w:val="0AFE2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97A11"/>
    <w:multiLevelType w:val="hybridMultilevel"/>
    <w:tmpl w:val="8F4E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09D"/>
    <w:rsid w:val="00037B4F"/>
    <w:rsid w:val="000916CE"/>
    <w:rsid w:val="000A67DA"/>
    <w:rsid w:val="000B00B0"/>
    <w:rsid w:val="000B47AF"/>
    <w:rsid w:val="000C4FD3"/>
    <w:rsid w:val="000D724F"/>
    <w:rsid w:val="0010671E"/>
    <w:rsid w:val="00137AB7"/>
    <w:rsid w:val="001960A9"/>
    <w:rsid w:val="001C4A0C"/>
    <w:rsid w:val="002012D9"/>
    <w:rsid w:val="002332CB"/>
    <w:rsid w:val="002646A7"/>
    <w:rsid w:val="002C05BF"/>
    <w:rsid w:val="002C3E71"/>
    <w:rsid w:val="0036750C"/>
    <w:rsid w:val="00383074"/>
    <w:rsid w:val="003958ED"/>
    <w:rsid w:val="003E57A8"/>
    <w:rsid w:val="00494AF6"/>
    <w:rsid w:val="004D3B37"/>
    <w:rsid w:val="004F48F2"/>
    <w:rsid w:val="004F6FE6"/>
    <w:rsid w:val="0051155F"/>
    <w:rsid w:val="00534594"/>
    <w:rsid w:val="00552492"/>
    <w:rsid w:val="0055506B"/>
    <w:rsid w:val="00566371"/>
    <w:rsid w:val="0057344C"/>
    <w:rsid w:val="00581AF8"/>
    <w:rsid w:val="00584C38"/>
    <w:rsid w:val="005D209D"/>
    <w:rsid w:val="005F728B"/>
    <w:rsid w:val="00600FDE"/>
    <w:rsid w:val="00611E2F"/>
    <w:rsid w:val="006170EF"/>
    <w:rsid w:val="00632B49"/>
    <w:rsid w:val="006451C7"/>
    <w:rsid w:val="00671672"/>
    <w:rsid w:val="006C3EBE"/>
    <w:rsid w:val="006F624B"/>
    <w:rsid w:val="00713C85"/>
    <w:rsid w:val="007201F8"/>
    <w:rsid w:val="0078706F"/>
    <w:rsid w:val="007C52E0"/>
    <w:rsid w:val="0088605B"/>
    <w:rsid w:val="008C01B2"/>
    <w:rsid w:val="008C4E75"/>
    <w:rsid w:val="008E0484"/>
    <w:rsid w:val="00902CFE"/>
    <w:rsid w:val="00926C48"/>
    <w:rsid w:val="009B27C9"/>
    <w:rsid w:val="00A1643C"/>
    <w:rsid w:val="00AA6EB0"/>
    <w:rsid w:val="00B049B6"/>
    <w:rsid w:val="00B04E4F"/>
    <w:rsid w:val="00B23BCB"/>
    <w:rsid w:val="00B344AC"/>
    <w:rsid w:val="00B978BD"/>
    <w:rsid w:val="00BE2D59"/>
    <w:rsid w:val="00BF30C2"/>
    <w:rsid w:val="00CF4DCA"/>
    <w:rsid w:val="00D1382F"/>
    <w:rsid w:val="00D4531D"/>
    <w:rsid w:val="00D66B92"/>
    <w:rsid w:val="00D67219"/>
    <w:rsid w:val="00D836A7"/>
    <w:rsid w:val="00DB4AE4"/>
    <w:rsid w:val="00DC40D8"/>
    <w:rsid w:val="00E232C0"/>
    <w:rsid w:val="00E276ED"/>
    <w:rsid w:val="00E647AA"/>
    <w:rsid w:val="00E73F52"/>
    <w:rsid w:val="00EB5FA6"/>
    <w:rsid w:val="00EF6691"/>
    <w:rsid w:val="00F105CD"/>
    <w:rsid w:val="00F27AF1"/>
    <w:rsid w:val="00F41A15"/>
    <w:rsid w:val="00F91499"/>
    <w:rsid w:val="00FC57FA"/>
    <w:rsid w:val="00FC6FAA"/>
    <w:rsid w:val="00FD6422"/>
    <w:rsid w:val="00FD6A1B"/>
    <w:rsid w:val="00FE2231"/>
    <w:rsid w:val="00FF053F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C4FD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0C4F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0C4FD3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4FD3"/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Обычный + по ширине"/>
    <w:basedOn w:val="a"/>
    <w:rsid w:val="000C4F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Обычный (Web)1,Обычный (веб)1,Обычный (веб)11"/>
    <w:basedOn w:val="a"/>
    <w:link w:val="a8"/>
    <w:uiPriority w:val="99"/>
    <w:unhideWhenUsed/>
    <w:qFormat/>
    <w:rsid w:val="0063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qFormat/>
    <w:rsid w:val="001067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No Spacing"/>
    <w:link w:val="aa"/>
    <w:qFormat/>
    <w:rsid w:val="00511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rsid w:val="0051155F"/>
    <w:rPr>
      <w:rFonts w:ascii="Calibri" w:eastAsia="Times New Roman" w:hAnsi="Calibri" w:cs="Times New Roman"/>
    </w:rPr>
  </w:style>
  <w:style w:type="character" w:styleId="ab">
    <w:name w:val="Strong"/>
    <w:basedOn w:val="a0"/>
    <w:uiPriority w:val="22"/>
    <w:qFormat/>
    <w:rsid w:val="00713C8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1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3C8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DB4AE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B4AE4"/>
  </w:style>
  <w:style w:type="character" w:customStyle="1" w:styleId="a8">
    <w:name w:val="Обычный (веб) Знак"/>
    <w:aliases w:val="Обычный (Web)1 Знак,Обычный (веб)1 Знак,Обычный (веб)11 Знак"/>
    <w:link w:val="a7"/>
    <w:uiPriority w:val="99"/>
    <w:locked/>
    <w:rsid w:val="00DB4AE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rcssattr">
    <w:name w:val="consplusnormal_mr_css_attr"/>
    <w:basedOn w:val="a"/>
    <w:rsid w:val="00DB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ay.ru/investicionnaja-politika/" TargetMode="External"/><Relationship Id="rId5" Type="http://schemas.openxmlformats.org/officeDocument/2006/relationships/hyperlink" Target="http://uray.ru/investitsionnaya-politika-goro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kulikovaly</cp:lastModifiedBy>
  <cp:revision>10</cp:revision>
  <cp:lastPrinted>2021-03-23T09:36:00Z</cp:lastPrinted>
  <dcterms:created xsi:type="dcterms:W3CDTF">2021-03-19T07:08:00Z</dcterms:created>
  <dcterms:modified xsi:type="dcterms:W3CDTF">2021-05-25T03:58:00Z</dcterms:modified>
</cp:coreProperties>
</file>