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B" w:rsidRDefault="0015104B" w:rsidP="00B1003A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96779" w:rsidP="0019677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>нформация о реализации мероприятий по снижению рисков нарушения антимонопольного законодательства в администрации города Урай за 2 квартал 2020 года</w:t>
      </w:r>
    </w:p>
    <w:p w:rsidR="00196779" w:rsidRPr="00196779" w:rsidRDefault="00196779" w:rsidP="00196779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4573C4">
        <w:tc>
          <w:tcPr>
            <w:tcW w:w="675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27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04B" w:rsidRPr="001E033F" w:rsidRDefault="0015104B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комплаенса)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антимонопольного комплаенса в администрации города Урай </w:t>
            </w:r>
          </w:p>
        </w:tc>
        <w:tc>
          <w:tcPr>
            <w:tcW w:w="1792" w:type="dxa"/>
          </w:tcPr>
          <w:p w:rsidR="0015104B" w:rsidRPr="00F63262" w:rsidRDefault="00F63262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632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 (ноль) </w:t>
            </w:r>
          </w:p>
          <w:p w:rsidR="00F63262" w:rsidRPr="00F63262" w:rsidRDefault="001E033F" w:rsidP="001E033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МПА р</w:t>
            </w:r>
            <w:r w:rsidR="00F63262" w:rsidRPr="00F632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азработаны и утверждены в 1 квартале 2020 года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по снижению рисков нарушения антимонопольного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 </w:t>
            </w:r>
            <w:r>
              <w:lastRenderedPageBreak/>
              <w:t xml:space="preserve">Урай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 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</w:t>
            </w:r>
            <w:r>
              <w:lastRenderedPageBreak/>
              <w:t>может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</w:t>
            </w:r>
            <w:r>
              <w:lastRenderedPageBreak/>
              <w:t>законодательства, - 100%</w:t>
            </w:r>
          </w:p>
        </w:tc>
        <w:tc>
          <w:tcPr>
            <w:tcW w:w="1792" w:type="dxa"/>
          </w:tcPr>
          <w:p w:rsidR="0015104B" w:rsidRPr="002359BB" w:rsidRDefault="002359BB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0 %</w:t>
            </w:r>
          </w:p>
          <w:p w:rsidR="003E3169" w:rsidRPr="002359BB" w:rsidRDefault="001E033F" w:rsidP="001E033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 в</w:t>
            </w:r>
            <w:r w:rsidR="002359BB">
              <w:rPr>
                <w:rFonts w:ascii="Times New Roman" w:hAnsi="Times New Roman"/>
                <w:sz w:val="24"/>
                <w:szCs w:val="24"/>
              </w:rPr>
              <w:t xml:space="preserve">о 2 квартале 2020 года  не разрабатывались </w:t>
            </w:r>
            <w:r w:rsidR="002359BB" w:rsidRPr="002359B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2359BB">
              <w:rPr>
                <w:rFonts w:ascii="Times New Roman" w:hAnsi="Times New Roman"/>
                <w:sz w:val="24"/>
                <w:szCs w:val="24"/>
              </w:rPr>
              <w:t>ы</w:t>
            </w:r>
            <w:r w:rsidR="002359BB" w:rsidRPr="002359BB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="003E3169">
              <w:rPr>
                <w:rFonts w:ascii="Times New Roman" w:hAnsi="Times New Roman"/>
                <w:sz w:val="24"/>
                <w:szCs w:val="24"/>
              </w:rPr>
              <w:t xml:space="preserve">ьных нормативных правовых актов </w:t>
            </w:r>
            <w:r w:rsidR="002359BB" w:rsidRPr="002359BB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r w:rsidR="002359BB" w:rsidRPr="002359BB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переданных отдельных государственных полномочий</w:t>
            </w:r>
            <w:r w:rsidR="003E3169">
              <w:rPr>
                <w:rFonts w:ascii="Times New Roman" w:hAnsi="Times New Roman"/>
                <w:sz w:val="24"/>
                <w:szCs w:val="24"/>
              </w:rPr>
              <w:t>.</w:t>
            </w:r>
            <w:r w:rsidR="002359BB" w:rsidRPr="0023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169">
              <w:rPr>
                <w:rFonts w:ascii="Times New Roman" w:hAnsi="Times New Roman"/>
                <w:sz w:val="24"/>
                <w:szCs w:val="24"/>
              </w:rPr>
              <w:t>Во 2 квартале был принят 1 МНПА по вопросу переданных госполномочий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169">
              <w:rPr>
                <w:rFonts w:ascii="Times New Roman" w:hAnsi="Times New Roman"/>
                <w:sz w:val="24"/>
                <w:szCs w:val="24"/>
              </w:rPr>
              <w:t>предварительная экспертиза и общественное обсуждение на интернет-портале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которого</w:t>
            </w:r>
            <w:r w:rsidR="003E3169">
              <w:rPr>
                <w:rFonts w:ascii="Times New Roman" w:hAnsi="Times New Roman"/>
                <w:sz w:val="24"/>
                <w:szCs w:val="24"/>
              </w:rPr>
              <w:t xml:space="preserve"> были проведены в 1 квартале 2020 года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по снижению рисков нарушения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</w:t>
            </w:r>
            <w:r>
              <w:lastRenderedPageBreak/>
              <w:t>законодательства, - 100%</w:t>
            </w:r>
          </w:p>
        </w:tc>
        <w:tc>
          <w:tcPr>
            <w:tcW w:w="1792" w:type="dxa"/>
          </w:tcPr>
          <w:p w:rsidR="0015104B" w:rsidRPr="003E3169" w:rsidRDefault="003E3169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100 %</w:t>
            </w:r>
          </w:p>
          <w:p w:rsidR="003E3169" w:rsidRPr="003E3169" w:rsidRDefault="001E033F" w:rsidP="001E033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="003E3169"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100 проектов </w:t>
            </w:r>
            <w:r w:rsid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="003E3169"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Анализ действующих муниципальных нормативных правовых актов на наличие или отсутствие рисков нарушения антимонопольного законодательства (за 2017 - 2019 годы)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органы администрации города Урай, являющиеся разработчиками проектов муниципальных нормативных 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доля действующих муниципальных нормативных правовых актов, в отношении которых проведен анализ на наличие или отсутствие рисков нарушения антимонопольного законодательства (за 2017 - 2019 годы), - 100%</w:t>
            </w:r>
          </w:p>
        </w:tc>
        <w:tc>
          <w:tcPr>
            <w:tcW w:w="1792" w:type="dxa"/>
          </w:tcPr>
          <w:p w:rsidR="0015104B" w:rsidRPr="00967CFF" w:rsidRDefault="00967CFF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34%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15104B" w:rsidRPr="00967CFF" w:rsidRDefault="00967CFF" w:rsidP="00967CF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2 квартале 2020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15104B" w:rsidRPr="00967CFF" w:rsidRDefault="00967CFF" w:rsidP="001E033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Запланирован</w:t>
            </w:r>
            <w:r w:rsid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 размещению в 3 квартале 2020 года</w:t>
            </w:r>
          </w:p>
        </w:tc>
      </w:tr>
      <w:tr w:rsidR="003E3169" w:rsidRPr="00524DC1" w:rsidTr="004573C4">
        <w:tc>
          <w:tcPr>
            <w:tcW w:w="675" w:type="dxa"/>
          </w:tcPr>
          <w:p w:rsidR="003E3169" w:rsidRPr="001E033F" w:rsidRDefault="003E3169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3E3169" w:rsidRPr="001E033F" w:rsidRDefault="003E3169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2020 год»</w:t>
            </w:r>
          </w:p>
        </w:tc>
        <w:tc>
          <w:tcPr>
            <w:tcW w:w="2677" w:type="dxa"/>
          </w:tcPr>
          <w:p w:rsidR="003E3169" w:rsidRDefault="003E3169" w:rsidP="004573C4">
            <w:pPr>
              <w:pStyle w:val="ConsPlusNormal"/>
              <w:jc w:val="both"/>
            </w:pPr>
            <w:r>
              <w:lastRenderedPageBreak/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</w:t>
            </w:r>
            <w:r>
              <w:lastRenderedPageBreak/>
              <w:t>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вопросам антимонопольного комплаенса</w:t>
            </w:r>
          </w:p>
        </w:tc>
        <w:tc>
          <w:tcPr>
            <w:tcW w:w="2408" w:type="dxa"/>
          </w:tcPr>
          <w:p w:rsidR="003E3169" w:rsidRDefault="003E3169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3E3169" w:rsidRDefault="003E3169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3E3169" w:rsidRDefault="003E3169" w:rsidP="004573C4">
            <w:pPr>
              <w:pStyle w:val="ConsPlusNormal"/>
              <w:jc w:val="both"/>
            </w:pPr>
            <w:r>
              <w:t>организация обучения работников администрации города Урай по вопросам антимонопольного комплаенса</w:t>
            </w:r>
          </w:p>
        </w:tc>
        <w:tc>
          <w:tcPr>
            <w:tcW w:w="1792" w:type="dxa"/>
          </w:tcPr>
          <w:p w:rsidR="003E3169" w:rsidRPr="001E033F" w:rsidRDefault="003E3169" w:rsidP="003E31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обучение работников администрации города Урай по вопросам антимонопольного комплаенса запланировано на II полугодие 2020 года  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1E033F" w:rsidRDefault="001E033F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Организация включения в должностные инструкции работников органов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положения о необходимости соблюдения муниципальных правовых актов об антимонопольном комплаенсе</w:t>
            </w:r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органы администрации города Урай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доля должностных инструкций работников органов администрации города Урай, в которые включено положение о необходимости соблюдения муниципальных правовых актов об антимонопольном комплаенсе, - 100%</w:t>
            </w:r>
          </w:p>
        </w:tc>
        <w:tc>
          <w:tcPr>
            <w:tcW w:w="1792" w:type="dxa"/>
          </w:tcPr>
          <w:p w:rsidR="001E033F" w:rsidRPr="001E033F" w:rsidRDefault="001E033F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Ознакомление работников при приеме на работу в администрацию города Урай с муниципальными правовыми актами об антимонопольном комплаенсе</w:t>
            </w:r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доля принятых на работу в администрацию города Урай работников, ознакомленных с муниципальными правовыми актами об антимонопольном комплаенсе, - 100%</w:t>
            </w:r>
          </w:p>
        </w:tc>
        <w:tc>
          <w:tcPr>
            <w:tcW w:w="1792" w:type="dxa"/>
          </w:tcPr>
          <w:p w:rsidR="001E033F" w:rsidRPr="001E033F" w:rsidRDefault="001E033F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Ознакомление работников органов администрации города Урай с Положением об антимонопольном комплаенсе в администрации города Урай и обеспечение его соблюдения</w:t>
            </w:r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органы администрации города Урай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доля работников органов администрации города Урай, ознакомленных и соблюдающих Положение об антимонопольном комплаенсе в администрации города Урай, - 100%</w:t>
            </w:r>
          </w:p>
        </w:tc>
        <w:tc>
          <w:tcPr>
            <w:tcW w:w="1792" w:type="dxa"/>
          </w:tcPr>
          <w:p w:rsidR="001E033F" w:rsidRPr="001E033F" w:rsidRDefault="001E033F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15104B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C7" w:rsidRDefault="005D7AC7" w:rsidP="00EA4892">
      <w:pPr>
        <w:spacing w:after="0" w:line="240" w:lineRule="auto"/>
      </w:pPr>
      <w:r>
        <w:separator/>
      </w:r>
    </w:p>
  </w:endnote>
  <w:endnote w:type="continuationSeparator" w:id="1">
    <w:p w:rsidR="005D7AC7" w:rsidRDefault="005D7AC7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C7" w:rsidRDefault="005D7AC7" w:rsidP="00EA4892">
      <w:pPr>
        <w:spacing w:after="0" w:line="240" w:lineRule="auto"/>
      </w:pPr>
      <w:r>
        <w:separator/>
      </w:r>
    </w:p>
  </w:footnote>
  <w:footnote w:type="continuationSeparator" w:id="1">
    <w:p w:rsidR="005D7AC7" w:rsidRDefault="005D7AC7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67251D">
    <w:pPr>
      <w:pStyle w:val="a9"/>
      <w:jc w:val="center"/>
    </w:pPr>
    <w:fldSimple w:instr="PAGE   \* MERGEFORMAT">
      <w:r w:rsidR="00196779">
        <w:rPr>
          <w:noProof/>
        </w:rPr>
        <w:t>2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E620B"/>
    <w:rsid w:val="000F59C0"/>
    <w:rsid w:val="0010617C"/>
    <w:rsid w:val="001115D8"/>
    <w:rsid w:val="00113104"/>
    <w:rsid w:val="001175A8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96779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5A85"/>
    <w:rsid w:val="001C61AF"/>
    <w:rsid w:val="001C7CD1"/>
    <w:rsid w:val="001D32B4"/>
    <w:rsid w:val="001D3B73"/>
    <w:rsid w:val="001D3E67"/>
    <w:rsid w:val="001E033F"/>
    <w:rsid w:val="001F138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2EF7"/>
    <w:rsid w:val="00290453"/>
    <w:rsid w:val="002929C4"/>
    <w:rsid w:val="00294F83"/>
    <w:rsid w:val="002A050E"/>
    <w:rsid w:val="002A5F5B"/>
    <w:rsid w:val="002A6283"/>
    <w:rsid w:val="002B1A72"/>
    <w:rsid w:val="002C25D9"/>
    <w:rsid w:val="002C50A5"/>
    <w:rsid w:val="002F5BFC"/>
    <w:rsid w:val="00326584"/>
    <w:rsid w:val="00344B1C"/>
    <w:rsid w:val="00361582"/>
    <w:rsid w:val="0036470A"/>
    <w:rsid w:val="00367604"/>
    <w:rsid w:val="00367887"/>
    <w:rsid w:val="0037621C"/>
    <w:rsid w:val="00381D33"/>
    <w:rsid w:val="003861DC"/>
    <w:rsid w:val="0039021B"/>
    <w:rsid w:val="003949C5"/>
    <w:rsid w:val="00397A37"/>
    <w:rsid w:val="003B66FE"/>
    <w:rsid w:val="003C1C57"/>
    <w:rsid w:val="003D741C"/>
    <w:rsid w:val="003E3169"/>
    <w:rsid w:val="003E3B09"/>
    <w:rsid w:val="003F3F07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7E62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64E2"/>
    <w:rsid w:val="005679C7"/>
    <w:rsid w:val="005772DD"/>
    <w:rsid w:val="00593222"/>
    <w:rsid w:val="005939A6"/>
    <w:rsid w:val="00595E0B"/>
    <w:rsid w:val="005A2F98"/>
    <w:rsid w:val="005A3C1D"/>
    <w:rsid w:val="005B5241"/>
    <w:rsid w:val="005C5392"/>
    <w:rsid w:val="005C6DA8"/>
    <w:rsid w:val="005D32EF"/>
    <w:rsid w:val="005D3DDE"/>
    <w:rsid w:val="005D7AC7"/>
    <w:rsid w:val="005E153F"/>
    <w:rsid w:val="005E53C2"/>
    <w:rsid w:val="005F7FAC"/>
    <w:rsid w:val="006078FA"/>
    <w:rsid w:val="0061206B"/>
    <w:rsid w:val="00613542"/>
    <w:rsid w:val="0063267A"/>
    <w:rsid w:val="00644F4C"/>
    <w:rsid w:val="006451CD"/>
    <w:rsid w:val="00645D2D"/>
    <w:rsid w:val="0064795D"/>
    <w:rsid w:val="0065063D"/>
    <w:rsid w:val="006540F1"/>
    <w:rsid w:val="00662DCE"/>
    <w:rsid w:val="006636AA"/>
    <w:rsid w:val="00671C88"/>
    <w:rsid w:val="0067251D"/>
    <w:rsid w:val="0068693E"/>
    <w:rsid w:val="0069015A"/>
    <w:rsid w:val="006971BA"/>
    <w:rsid w:val="006A4CD0"/>
    <w:rsid w:val="006C6485"/>
    <w:rsid w:val="006D2735"/>
    <w:rsid w:val="006D3541"/>
    <w:rsid w:val="006D7305"/>
    <w:rsid w:val="006F060A"/>
    <w:rsid w:val="006F3B0A"/>
    <w:rsid w:val="006F4104"/>
    <w:rsid w:val="006F7927"/>
    <w:rsid w:val="00710717"/>
    <w:rsid w:val="007128D5"/>
    <w:rsid w:val="00712A31"/>
    <w:rsid w:val="00717A08"/>
    <w:rsid w:val="00720782"/>
    <w:rsid w:val="007236BD"/>
    <w:rsid w:val="00727C28"/>
    <w:rsid w:val="00731E8D"/>
    <w:rsid w:val="00741A7F"/>
    <w:rsid w:val="0076185D"/>
    <w:rsid w:val="00762764"/>
    <w:rsid w:val="00763677"/>
    <w:rsid w:val="00780827"/>
    <w:rsid w:val="00790846"/>
    <w:rsid w:val="007945B1"/>
    <w:rsid w:val="007B63F9"/>
    <w:rsid w:val="007C039F"/>
    <w:rsid w:val="007C297B"/>
    <w:rsid w:val="007C4CC3"/>
    <w:rsid w:val="007C667A"/>
    <w:rsid w:val="007C702C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57A"/>
    <w:rsid w:val="008173CB"/>
    <w:rsid w:val="00820666"/>
    <w:rsid w:val="008276AE"/>
    <w:rsid w:val="00827820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588C"/>
    <w:rsid w:val="008D1362"/>
    <w:rsid w:val="008D43F1"/>
    <w:rsid w:val="008D7025"/>
    <w:rsid w:val="008E3DD8"/>
    <w:rsid w:val="008F7B0F"/>
    <w:rsid w:val="009215F6"/>
    <w:rsid w:val="00924311"/>
    <w:rsid w:val="009256B7"/>
    <w:rsid w:val="00934F04"/>
    <w:rsid w:val="0093744E"/>
    <w:rsid w:val="00947A6E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E1AC7"/>
    <w:rsid w:val="009F0C7A"/>
    <w:rsid w:val="009F4CFB"/>
    <w:rsid w:val="009F7D3D"/>
    <w:rsid w:val="00A03A19"/>
    <w:rsid w:val="00A07DC0"/>
    <w:rsid w:val="00A2357C"/>
    <w:rsid w:val="00A24954"/>
    <w:rsid w:val="00A33B8E"/>
    <w:rsid w:val="00A4088B"/>
    <w:rsid w:val="00A40B14"/>
    <w:rsid w:val="00A43B2B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4D0B"/>
    <w:rsid w:val="00CB705D"/>
    <w:rsid w:val="00CB7CE0"/>
    <w:rsid w:val="00CC3418"/>
    <w:rsid w:val="00CC55A0"/>
    <w:rsid w:val="00CC5E67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220F"/>
    <w:rsid w:val="00D72605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6C31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426E"/>
    <w:rsid w:val="00EA4892"/>
    <w:rsid w:val="00EB5848"/>
    <w:rsid w:val="00EB7276"/>
    <w:rsid w:val="00EB74EA"/>
    <w:rsid w:val="00EB750C"/>
    <w:rsid w:val="00EB76ED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12</cp:revision>
  <cp:lastPrinted>2019-12-27T12:08:00Z</cp:lastPrinted>
  <dcterms:created xsi:type="dcterms:W3CDTF">2020-01-21T11:32:00Z</dcterms:created>
  <dcterms:modified xsi:type="dcterms:W3CDTF">2020-10-05T05:05:00Z</dcterms:modified>
</cp:coreProperties>
</file>