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5E" w:rsidRDefault="00567BF9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5E" w:rsidRDefault="00567BF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ОБРАЗОВАНИЕ ГОРОД УРАЙ</w:t>
      </w:r>
    </w:p>
    <w:p w:rsidR="00995E5E" w:rsidRDefault="00567BF9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995E5E" w:rsidRDefault="00995E5E">
      <w:pPr>
        <w:jc w:val="center"/>
      </w:pPr>
    </w:p>
    <w:p w:rsidR="00995E5E" w:rsidRDefault="00567BF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995E5E" w:rsidRDefault="00567BF9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95E5E" w:rsidRDefault="00995E5E">
      <w:pPr>
        <w:pStyle w:val="3"/>
        <w:spacing w:after="0"/>
        <w:jc w:val="center"/>
        <w:rPr>
          <w:i/>
          <w:sz w:val="24"/>
          <w:szCs w:val="24"/>
        </w:rPr>
      </w:pPr>
    </w:p>
    <w:p w:rsidR="00995E5E" w:rsidRDefault="00567BF9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995E5E" w:rsidRDefault="00567BF9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округ-Югра</w:t>
      </w:r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995E5E" w:rsidRDefault="00567BF9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995E5E" w:rsidRDefault="00995E5E">
      <w:pPr>
        <w:jc w:val="center"/>
        <w:rPr>
          <w:spacing w:val="-8"/>
        </w:rPr>
      </w:pPr>
    </w:p>
    <w:p w:rsidR="00995E5E" w:rsidRDefault="00995E5E">
      <w:pPr>
        <w:jc w:val="center"/>
        <w:rPr>
          <w:spacing w:val="-8"/>
        </w:rPr>
      </w:pPr>
    </w:p>
    <w:p w:rsidR="00995E5E" w:rsidRDefault="00995E5E">
      <w:pPr>
        <w:jc w:val="center"/>
        <w:rPr>
          <w:spacing w:val="-8"/>
        </w:rPr>
      </w:pPr>
    </w:p>
    <w:p w:rsidR="00995E5E" w:rsidRDefault="00567BF9">
      <w:pPr>
        <w:jc w:val="center"/>
        <w:rPr>
          <w:spacing w:val="-8"/>
        </w:rPr>
      </w:pPr>
      <w:r>
        <w:rPr>
          <w:spacing w:val="-8"/>
        </w:rPr>
        <w:t>Пояснительная</w:t>
      </w:r>
      <w:r>
        <w:rPr>
          <w:spacing w:val="-8"/>
        </w:rPr>
        <w:t xml:space="preserve"> записка</w:t>
      </w:r>
    </w:p>
    <w:p w:rsidR="00995E5E" w:rsidRDefault="00567BF9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995E5E" w:rsidRDefault="00567BF9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годы».</w:t>
      </w:r>
    </w:p>
    <w:p w:rsidR="00995E5E" w:rsidRDefault="00995E5E">
      <w:pPr>
        <w:jc w:val="center"/>
        <w:rPr>
          <w:spacing w:val="-8"/>
        </w:rPr>
      </w:pPr>
    </w:p>
    <w:p w:rsidR="00995E5E" w:rsidRDefault="00995E5E">
      <w:pPr>
        <w:ind w:right="-1" w:firstLine="360"/>
        <w:jc w:val="both"/>
        <w:rPr>
          <w:rFonts w:eastAsia="MS Mincho"/>
          <w:lang w:eastAsia="ja-JP"/>
        </w:rPr>
      </w:pPr>
    </w:p>
    <w:p w:rsidR="00995E5E" w:rsidRDefault="00567BF9">
      <w:pPr>
        <w:ind w:right="284"/>
        <w:jc w:val="both"/>
        <w:rPr>
          <w:color w:val="FF0000"/>
        </w:rPr>
      </w:pPr>
      <w:r>
        <w:rPr>
          <w:rFonts w:eastAsia="MS Mincho"/>
          <w:lang w:eastAsia="ja-JP"/>
        </w:rPr>
        <w:t xml:space="preserve">       Настоящий проект постановления адм</w:t>
      </w:r>
      <w:r>
        <w:rPr>
          <w:rFonts w:eastAsia="MS Mincho"/>
          <w:lang w:eastAsia="ja-JP"/>
        </w:rPr>
        <w:t xml:space="preserve">инистрации города Урай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соответствии   с постановлением администрации города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концессионным соглашением в отношении объектов теплоснабжения и централизованных систем горячего водоснабжения, находящихся в собственности муниципального</w:t>
      </w:r>
      <w:r>
        <w:rPr>
          <w:rFonts w:eastAsia="MS Mincho"/>
          <w:bCs/>
          <w:color w:val="000000"/>
          <w:lang w:eastAsia="ja-JP"/>
        </w:rPr>
        <w:t xml:space="preserve"> образования городской округ город Урай от 26.12.2016 г. (в редакции постановления администрации города Урай от 11.06.2019 №1343 «О внесении изменений в соглашение от 26.12.2016», </w:t>
      </w:r>
      <w:r>
        <w:t>постановления администрации города Урай от 19.06.2019 №1444 «О внесении изме</w:t>
      </w:r>
      <w:r>
        <w:t>нения в приложение к постановлению администрации города Урай от 11.06.2019 №1343»).</w:t>
      </w:r>
    </w:p>
    <w:p w:rsidR="00995E5E" w:rsidRDefault="00567BF9">
      <w:pPr>
        <w:tabs>
          <w:tab w:val="left" w:pos="284"/>
          <w:tab w:val="left" w:pos="5670"/>
        </w:tabs>
        <w:jc w:val="both"/>
      </w:pPr>
      <w:r>
        <w:t xml:space="preserve">        В программу внесены следующие изменения:</w:t>
      </w:r>
    </w:p>
    <w:p w:rsidR="00995E5E" w:rsidRDefault="00567BF9">
      <w:pPr>
        <w:ind w:left="426"/>
        <w:jc w:val="both"/>
      </w:pPr>
      <w:r>
        <w:t>1.Строку 11 паспорта муниципальной программы изложить в новой редакции: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3260"/>
        <w:gridCol w:w="5494"/>
      </w:tblGrid>
      <w:tr w:rsidR="00995E5E">
        <w:trPr>
          <w:jc w:val="center"/>
        </w:trPr>
        <w:tc>
          <w:tcPr>
            <w:tcW w:w="1030" w:type="dxa"/>
          </w:tcPr>
          <w:p w:rsidR="00995E5E" w:rsidRDefault="00567BF9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995E5E" w:rsidRDefault="00567BF9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</w:t>
            </w:r>
            <w:r>
              <w:t xml:space="preserve"> программы</w:t>
            </w:r>
          </w:p>
        </w:tc>
        <w:tc>
          <w:tcPr>
            <w:tcW w:w="5494" w:type="dxa"/>
          </w:tcPr>
          <w:p w:rsidR="00995E5E" w:rsidRDefault="00567B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муниципальной программы: местный бюджет, бюджет Ханты-Мансийского</w:t>
            </w:r>
          </w:p>
          <w:p w:rsidR="00995E5E" w:rsidRDefault="00567BF9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995E5E" w:rsidRDefault="00567BF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2014 г</w:t>
            </w:r>
            <w:r>
              <w:t xml:space="preserve">од – </w:t>
            </w:r>
            <w:r>
              <w:rPr>
                <w:bCs/>
              </w:rPr>
              <w:t>82 174,1</w:t>
            </w:r>
            <w:r>
              <w:t>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–99 003,1 тыс. рублей.</w:t>
            </w:r>
          </w:p>
          <w:p w:rsidR="00995E5E" w:rsidRDefault="00567B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98 342,1 тыс. рублей.</w:t>
            </w:r>
          </w:p>
        </w:tc>
      </w:tr>
    </w:tbl>
    <w:p w:rsidR="00995E5E" w:rsidRDefault="00567BF9">
      <w:pPr>
        <w:ind w:left="-142"/>
        <w:jc w:val="both"/>
      </w:pPr>
      <w:r>
        <w:t xml:space="preserve">          2.В таблице 2 строку 2. «</w:t>
      </w:r>
      <w:r>
        <w:rPr>
          <w:bCs/>
        </w:rPr>
        <w:t>Реконструкция и строительство объектов коммунальной инфраструктуры города Урай. (1.-3.)</w:t>
      </w:r>
      <w:r>
        <w:rPr>
          <w:rFonts w:eastAsia="MS Mincho"/>
          <w:bCs/>
          <w:lang w:eastAsia="ja-JP"/>
        </w:rPr>
        <w:t xml:space="preserve">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1843"/>
        <w:gridCol w:w="2268"/>
        <w:gridCol w:w="2552"/>
        <w:gridCol w:w="3118"/>
      </w:tblGrid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tabs>
                <w:tab w:val="left" w:pos="851"/>
              </w:tabs>
            </w:pPr>
            <w:r>
              <w:t>Источники финансировани</w:t>
            </w:r>
            <w:r>
              <w:lastRenderedPageBreak/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Объем фин</w:t>
            </w:r>
            <w:r>
              <w:rPr>
                <w:bCs/>
              </w:rPr>
              <w:t xml:space="preserve">ансирования, </w:t>
            </w:r>
            <w:r>
              <w:rPr>
                <w:bCs/>
              </w:rPr>
              <w:lastRenderedPageBreak/>
              <w:t>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2019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center"/>
              <w:rPr>
                <w:b/>
                <w:bCs/>
              </w:rPr>
            </w:pPr>
            <w:r>
              <w:lastRenderedPageBreak/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198 376,0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43 429,5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42 786,5</w:t>
            </w:r>
          </w:p>
        </w:tc>
      </w:tr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autoSpaceDE w:val="0"/>
              <w:autoSpaceDN w:val="0"/>
              <w:adjustRightInd w:val="0"/>
              <w:jc w:val="center"/>
            </w:pPr>
            <w:r>
              <w:t>Бюджет Ханты-Мансийского автономного округа -Югры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</w:tr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12 031,3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10 500,0</w:t>
            </w:r>
          </w:p>
        </w:tc>
      </w:tr>
      <w:tr w:rsidR="00995E5E">
        <w:trPr>
          <w:trHeight w:val="2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autoSpaceDE w:val="0"/>
              <w:autoSpaceDN w:val="0"/>
              <w:adjustRightInd w:val="0"/>
              <w:jc w:val="center"/>
            </w:pPr>
            <w:r>
              <w:t xml:space="preserve">Иные источники финансирования </w:t>
            </w:r>
            <w:r>
              <w:t>(внебюджетные средства)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151 300,7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43 429,5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32 286,5</w:t>
            </w:r>
          </w:p>
        </w:tc>
      </w:tr>
    </w:tbl>
    <w:p w:rsidR="00995E5E" w:rsidRDefault="00567BF9">
      <w:pPr>
        <w:jc w:val="both"/>
      </w:pPr>
      <w:r>
        <w:t xml:space="preserve">        3.В таблице 2 в строке  «</w:t>
      </w:r>
      <w:r>
        <w:rPr>
          <w:rFonts w:eastAsia="MS Mincho"/>
          <w:bCs/>
          <w:lang w:eastAsia="ja-JP"/>
        </w:rPr>
        <w:t xml:space="preserve">Всего по муниципальной программе:»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1702"/>
        <w:gridCol w:w="2409"/>
        <w:gridCol w:w="2552"/>
        <w:gridCol w:w="3118"/>
      </w:tblGrid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</w:t>
            </w:r>
            <w:r>
              <w:rPr>
                <w:bCs/>
              </w:rPr>
              <w:t>ирования,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669 964,7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98 342,1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298 002,5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202 798,3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16 055,6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color w:val="000000"/>
                <w:lang w:eastAsia="ja-JP"/>
              </w:rPr>
            </w:pPr>
            <w:r>
              <w:t xml:space="preserve">Иные источники </w:t>
            </w:r>
            <w:r>
              <w:t>финансирования (внебюджетные 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169 163,9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995E5E" w:rsidRDefault="00567BF9">
      <w:pPr>
        <w:jc w:val="both"/>
      </w:pPr>
      <w:r>
        <w:t xml:space="preserve">         4.В таблице 2 в строке  «</w:t>
      </w:r>
      <w:r>
        <w:rPr>
          <w:rFonts w:eastAsia="MS Mincho"/>
          <w:bCs/>
          <w:lang w:eastAsia="ja-JP"/>
        </w:rPr>
        <w:t xml:space="preserve">Прочие расходы:»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1702"/>
        <w:gridCol w:w="2409"/>
        <w:gridCol w:w="2552"/>
        <w:gridCol w:w="3118"/>
      </w:tblGrid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</w:t>
            </w:r>
            <w:r>
              <w:rPr>
                <w:bCs/>
              </w:rPr>
              <w:t>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622 889,4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87 842,1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262 958,5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50 000,0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190 767,0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5 555,6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Иные источники </w:t>
            </w:r>
            <w:r>
              <w:t>финансирован</w:t>
            </w:r>
            <w:r>
              <w:lastRenderedPageBreak/>
              <w:t>ия (внебюджетные 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lastRenderedPageBreak/>
              <w:t>169 163,9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995E5E" w:rsidRDefault="00567BF9">
      <w:pPr>
        <w:jc w:val="both"/>
      </w:pPr>
      <w:r>
        <w:lastRenderedPageBreak/>
        <w:t xml:space="preserve">           6. В таблице 2 в строке  «</w:t>
      </w:r>
      <w:r>
        <w:rPr>
          <w:rFonts w:eastAsia="MS Mincho"/>
          <w:bCs/>
          <w:lang w:eastAsia="ja-JP"/>
        </w:rPr>
        <w:t xml:space="preserve">Ответственный исполнитель (МКУ «УЖКХ города Урай»):» столбцы </w:t>
      </w:r>
      <w:r>
        <w:t xml:space="preserve">«Объем финансирования, всего, тыс.руб.», </w:t>
      </w:r>
      <w:r>
        <w:rPr>
          <w:rFonts w:eastAsia="MS Mincho"/>
          <w:bCs/>
          <w:lang w:eastAsia="ja-JP"/>
        </w:rPr>
        <w:t>«</w:t>
      </w:r>
      <w:r>
        <w:t>2019 г.»,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1702"/>
        <w:gridCol w:w="2409"/>
        <w:gridCol w:w="2552"/>
        <w:gridCol w:w="3118"/>
      </w:tblGrid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2019 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rPr>
                <w:bCs/>
              </w:rPr>
              <w:t>621 988,4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99 003,1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87 842,1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262 958,5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50 000,0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50 000,0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189 866,0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</w:pPr>
            <w:r>
              <w:t>5 573,6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5 555,6</w:t>
            </w:r>
          </w:p>
        </w:tc>
      </w:tr>
      <w:tr w:rsidR="00995E5E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E" w:rsidRDefault="00567BF9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</w:pPr>
            <w:r>
              <w:t>169 163,9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43 429,5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E5E" w:rsidRDefault="00567BF9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995E5E" w:rsidRDefault="00567BF9">
      <w:pPr>
        <w:tabs>
          <w:tab w:val="left" w:pos="5670"/>
        </w:tabs>
        <w:jc w:val="both"/>
      </w:pPr>
      <w:r>
        <w:t xml:space="preserve">        7.В приложении 3 в строках «1.», «2.», «3.», «4.», «5.», «6.», «7.» столбец «Объем финансирования» изложить в новой редакции:</w:t>
      </w:r>
    </w:p>
    <w:tbl>
      <w:tblPr>
        <w:tblpPr w:leftFromText="180" w:rightFromText="180" w:vertAnchor="text" w:horzAnchor="margin" w:tblpXSpec="center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4785"/>
      </w:tblGrid>
      <w:tr w:rsidR="00995E5E">
        <w:trPr>
          <w:trHeight w:val="389"/>
        </w:trPr>
        <w:tc>
          <w:tcPr>
            <w:tcW w:w="426" w:type="dxa"/>
          </w:tcPr>
          <w:p w:rsidR="00995E5E" w:rsidRDefault="00995E5E">
            <w:pPr>
              <w:jc w:val="center"/>
            </w:pPr>
          </w:p>
        </w:tc>
        <w:tc>
          <w:tcPr>
            <w:tcW w:w="4678" w:type="dxa"/>
          </w:tcPr>
          <w:p w:rsidR="00995E5E" w:rsidRDefault="00567BF9">
            <w:r>
              <w:t>Наименование результа</w:t>
            </w:r>
            <w:r>
              <w:t>та</w:t>
            </w:r>
          </w:p>
        </w:tc>
        <w:tc>
          <w:tcPr>
            <w:tcW w:w="4785" w:type="dxa"/>
            <w:vAlign w:val="center"/>
          </w:tcPr>
          <w:p w:rsidR="00995E5E" w:rsidRDefault="00567BF9">
            <w:pPr>
              <w:jc w:val="center"/>
            </w:pPr>
            <w:r>
              <w:rPr>
                <w:rFonts w:eastAsia="MS Mincho"/>
                <w:bCs/>
                <w:color w:val="000000"/>
                <w:lang w:eastAsia="ja-JP"/>
              </w:rPr>
              <w:t>Объем финансирования мероприятия</w:t>
            </w:r>
          </w:p>
        </w:tc>
      </w:tr>
      <w:tr w:rsidR="00995E5E">
        <w:trPr>
          <w:trHeight w:val="389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995E5E" w:rsidRDefault="00567BF9">
            <w: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4785" w:type="dxa"/>
            <w:vMerge w:val="restart"/>
            <w:vAlign w:val="center"/>
          </w:tcPr>
          <w:p w:rsidR="00995E5E" w:rsidRDefault="00567BF9">
            <w:pPr>
              <w:jc w:val="center"/>
            </w:pPr>
            <w:r>
              <w:t>669 964,7</w:t>
            </w:r>
          </w:p>
        </w:tc>
      </w:tr>
      <w:tr w:rsidR="00995E5E">
        <w:trPr>
          <w:trHeight w:val="240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995E5E" w:rsidRDefault="00567BF9">
            <w:r>
              <w:t xml:space="preserve">Доля использования труб из </w:t>
            </w:r>
            <w:r>
              <w:t>композитных материалов в общем объеме замены при капитальном ремонте инженерных сетей жилищно-коммунального комплекса.</w:t>
            </w:r>
          </w:p>
        </w:tc>
        <w:tc>
          <w:tcPr>
            <w:tcW w:w="4785" w:type="dxa"/>
            <w:vMerge/>
          </w:tcPr>
          <w:p w:rsidR="00995E5E" w:rsidRDefault="00995E5E"/>
        </w:tc>
      </w:tr>
      <w:tr w:rsidR="00995E5E">
        <w:trPr>
          <w:trHeight w:val="246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995E5E" w:rsidRDefault="00567BF9">
            <w:r>
              <w:t xml:space="preserve">Количество аварий на объектах коммунальной инфраструктуры в сфере водо-, теплоснабжения и водоотведения при производстве, </w:t>
            </w:r>
            <w:r>
              <w:t>транспортировке и распределении коммунальных ресурсов.</w:t>
            </w:r>
          </w:p>
        </w:tc>
        <w:tc>
          <w:tcPr>
            <w:tcW w:w="4785" w:type="dxa"/>
            <w:vMerge/>
          </w:tcPr>
          <w:p w:rsidR="00995E5E" w:rsidRDefault="00995E5E"/>
        </w:tc>
      </w:tr>
      <w:tr w:rsidR="00995E5E">
        <w:trPr>
          <w:trHeight w:val="246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995E5E" w:rsidRDefault="00567BF9">
            <w:r>
              <w:t>Удельный вес протяженности сетей газоснабжения, срок эксплуатации которых более 30 лет, в общей протяженности сетей.</w:t>
            </w:r>
          </w:p>
        </w:tc>
        <w:tc>
          <w:tcPr>
            <w:tcW w:w="4785" w:type="dxa"/>
            <w:vMerge/>
            <w:vAlign w:val="center"/>
          </w:tcPr>
          <w:p w:rsidR="00995E5E" w:rsidRDefault="00995E5E">
            <w:pPr>
              <w:jc w:val="center"/>
            </w:pPr>
          </w:p>
        </w:tc>
      </w:tr>
      <w:tr w:rsidR="00995E5E">
        <w:trPr>
          <w:trHeight w:val="246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995E5E" w:rsidRDefault="00567BF9">
            <w:r>
              <w:t>Количество аварий на объектах газоснабжения.</w:t>
            </w:r>
          </w:p>
        </w:tc>
        <w:tc>
          <w:tcPr>
            <w:tcW w:w="4785" w:type="dxa"/>
            <w:vMerge/>
          </w:tcPr>
          <w:p w:rsidR="00995E5E" w:rsidRDefault="00995E5E"/>
        </w:tc>
      </w:tr>
      <w:tr w:rsidR="00995E5E">
        <w:trPr>
          <w:trHeight w:val="246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995E5E" w:rsidRDefault="00567BF9">
            <w:r>
              <w:t xml:space="preserve">Удельный вес </w:t>
            </w:r>
            <w:r>
              <w:t>протяженности ветхих сетей энергоснабжения, в общей протяженности сетей</w:t>
            </w:r>
          </w:p>
        </w:tc>
        <w:tc>
          <w:tcPr>
            <w:tcW w:w="4785" w:type="dxa"/>
            <w:vMerge/>
          </w:tcPr>
          <w:p w:rsidR="00995E5E" w:rsidRDefault="00995E5E"/>
        </w:tc>
      </w:tr>
      <w:tr w:rsidR="00995E5E">
        <w:trPr>
          <w:trHeight w:val="246"/>
        </w:trPr>
        <w:tc>
          <w:tcPr>
            <w:tcW w:w="426" w:type="dxa"/>
          </w:tcPr>
          <w:p w:rsidR="00995E5E" w:rsidRDefault="00567BF9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995E5E" w:rsidRDefault="00567BF9">
            <w:r>
              <w:t>Количество  аварий на объектах энергоснабжения.</w:t>
            </w:r>
          </w:p>
        </w:tc>
        <w:tc>
          <w:tcPr>
            <w:tcW w:w="4785" w:type="dxa"/>
            <w:vMerge/>
          </w:tcPr>
          <w:p w:rsidR="00995E5E" w:rsidRDefault="00995E5E"/>
        </w:tc>
      </w:tr>
    </w:tbl>
    <w:p w:rsidR="00995E5E" w:rsidRDefault="00567BF9">
      <w:pPr>
        <w:tabs>
          <w:tab w:val="left" w:pos="5670"/>
        </w:tabs>
        <w:jc w:val="both"/>
      </w:pPr>
      <w:r>
        <w:t xml:space="preserve">         </w:t>
      </w:r>
    </w:p>
    <w:p w:rsidR="00995E5E" w:rsidRDefault="00995E5E">
      <w:pPr>
        <w:tabs>
          <w:tab w:val="left" w:pos="5670"/>
        </w:tabs>
        <w:jc w:val="both"/>
      </w:pPr>
    </w:p>
    <w:p w:rsidR="00995E5E" w:rsidRDefault="00995E5E">
      <w:pPr>
        <w:tabs>
          <w:tab w:val="left" w:pos="5670"/>
        </w:tabs>
        <w:jc w:val="both"/>
      </w:pPr>
    </w:p>
    <w:p w:rsidR="00995E5E" w:rsidRDefault="00567BF9">
      <w:pPr>
        <w:tabs>
          <w:tab w:val="left" w:pos="5670"/>
        </w:tabs>
        <w:jc w:val="both"/>
      </w:pPr>
      <w:r>
        <w:t xml:space="preserve">           </w:t>
      </w:r>
      <w:r>
        <w:rPr>
          <w:bCs/>
        </w:rPr>
        <w:t>П</w:t>
      </w:r>
      <w:r>
        <w:rPr>
          <w:rFonts w:eastAsia="MS Mincho"/>
          <w:lang w:eastAsia="ja-JP"/>
        </w:rPr>
        <w:t>ланируемые изменения не приведут к ухудшению плановых значений целевых показателей индикаторов и показате</w:t>
      </w:r>
      <w:r>
        <w:rPr>
          <w:rFonts w:eastAsia="MS Mincho"/>
          <w:lang w:eastAsia="ja-JP"/>
        </w:rPr>
        <w:t>лей программы, а также к увеличению сроков исполнения мероприятий программы.</w:t>
      </w:r>
    </w:p>
    <w:p w:rsidR="00995E5E" w:rsidRDefault="00995E5E">
      <w:pPr>
        <w:pStyle w:val="3"/>
        <w:spacing w:after="0"/>
        <w:contextualSpacing/>
        <w:jc w:val="both"/>
        <w:rPr>
          <w:sz w:val="24"/>
          <w:szCs w:val="24"/>
        </w:rPr>
      </w:pPr>
    </w:p>
    <w:p w:rsidR="00995E5E" w:rsidRDefault="00995E5E">
      <w:pPr>
        <w:pStyle w:val="3"/>
        <w:spacing w:after="0"/>
        <w:contextualSpacing/>
        <w:jc w:val="both"/>
        <w:rPr>
          <w:sz w:val="24"/>
          <w:szCs w:val="24"/>
        </w:rPr>
      </w:pPr>
    </w:p>
    <w:p w:rsidR="00995E5E" w:rsidRDefault="00995E5E">
      <w:pPr>
        <w:pStyle w:val="3"/>
        <w:spacing w:after="0"/>
        <w:contextualSpacing/>
        <w:jc w:val="both"/>
        <w:rPr>
          <w:sz w:val="24"/>
          <w:szCs w:val="24"/>
        </w:rPr>
      </w:pPr>
    </w:p>
    <w:p w:rsidR="00995E5E" w:rsidRDefault="00995E5E">
      <w:pPr>
        <w:pStyle w:val="3"/>
        <w:spacing w:after="0"/>
        <w:contextualSpacing/>
        <w:jc w:val="both"/>
        <w:rPr>
          <w:sz w:val="24"/>
          <w:szCs w:val="24"/>
        </w:rPr>
      </w:pPr>
    </w:p>
    <w:p w:rsidR="00995E5E" w:rsidRDefault="00995E5E">
      <w:pPr>
        <w:pStyle w:val="3"/>
        <w:spacing w:after="0"/>
        <w:contextualSpacing/>
        <w:jc w:val="both"/>
        <w:rPr>
          <w:sz w:val="24"/>
          <w:szCs w:val="24"/>
        </w:rPr>
      </w:pPr>
    </w:p>
    <w:p w:rsidR="00995E5E" w:rsidRDefault="00567BF9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Урай                                                                                   И.А.Козлов</w:t>
      </w: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995E5E">
      <w:pPr>
        <w:pStyle w:val="3"/>
        <w:spacing w:before="240" w:after="0"/>
        <w:contextualSpacing/>
        <w:rPr>
          <w:sz w:val="24"/>
          <w:szCs w:val="24"/>
        </w:rPr>
      </w:pPr>
    </w:p>
    <w:p w:rsidR="00995E5E" w:rsidRDefault="00567BF9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95E5E" w:rsidRDefault="00567BF9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ПТО МКУ «УЖКХ г.Урай» </w:t>
      </w:r>
    </w:p>
    <w:p w:rsidR="00995E5E" w:rsidRDefault="00567BF9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Нурмухаметова С.В. т.23386 доб.375</w:t>
      </w:r>
    </w:p>
    <w:p w:rsidR="00995E5E" w:rsidRDefault="00995E5E">
      <w:pPr>
        <w:pStyle w:val="3"/>
        <w:spacing w:before="240" w:after="0"/>
        <w:contextualSpacing/>
        <w:rPr>
          <w:sz w:val="18"/>
          <w:szCs w:val="18"/>
        </w:rPr>
      </w:pPr>
    </w:p>
    <w:sectPr w:rsidR="00995E5E" w:rsidSect="00995E5E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5E5E"/>
    <w:rsid w:val="00567BF9"/>
    <w:rsid w:val="0099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E5E"/>
    <w:rPr>
      <w:sz w:val="24"/>
      <w:szCs w:val="24"/>
    </w:rPr>
  </w:style>
  <w:style w:type="paragraph" w:styleId="1">
    <w:name w:val="heading 1"/>
    <w:basedOn w:val="a"/>
    <w:next w:val="a"/>
    <w:qFormat/>
    <w:rsid w:val="00995E5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5E5E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995E5E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995E5E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95E5E"/>
    <w:rPr>
      <w:sz w:val="32"/>
      <w:lang w:val="ru-RU" w:eastAsia="ru-RU" w:bidi="ar-SA"/>
    </w:rPr>
  </w:style>
  <w:style w:type="character" w:styleId="a6">
    <w:name w:val="Hyperlink"/>
    <w:basedOn w:val="a0"/>
    <w:rsid w:val="00995E5E"/>
    <w:rPr>
      <w:color w:val="0000FF"/>
      <w:u w:val="single"/>
    </w:rPr>
  </w:style>
  <w:style w:type="character" w:styleId="a7">
    <w:name w:val="Emphasis"/>
    <w:basedOn w:val="a0"/>
    <w:qFormat/>
    <w:rsid w:val="00995E5E"/>
    <w:rPr>
      <w:i/>
      <w:iCs/>
    </w:rPr>
  </w:style>
  <w:style w:type="table" w:styleId="a8">
    <w:name w:val="Table Grid"/>
    <w:basedOn w:val="a1"/>
    <w:rsid w:val="0099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995E5E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995E5E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995E5E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995E5E"/>
  </w:style>
  <w:style w:type="paragraph" w:customStyle="1" w:styleId="10">
    <w:name w:val="Без интервала1"/>
    <w:rsid w:val="00995E5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4DD2-C2E5-4623-B129-92484323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Кузьменко Владислав Сергеевич</cp:lastModifiedBy>
  <cp:revision>2</cp:revision>
  <cp:lastPrinted>2018-12-17T10:13:00Z</cp:lastPrinted>
  <dcterms:created xsi:type="dcterms:W3CDTF">2020-03-03T12:45:00Z</dcterms:created>
  <dcterms:modified xsi:type="dcterms:W3CDTF">2020-03-03T12:45:00Z</dcterms:modified>
</cp:coreProperties>
</file>