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 программы за 2019 год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12"/>
        <w:gridCol w:w="4148"/>
        <w:gridCol w:w="1060"/>
        <w:gridCol w:w="1249"/>
        <w:gridCol w:w="1249"/>
        <w:gridCol w:w="3264"/>
        <w:gridCol w:w="3132"/>
      </w:tblGrid>
      <w:tr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целевого показателя &lt;2&gt;, %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года </w:t>
            </w:r>
          </w:p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&lt;1&gt;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r>
              <w:rPr>
                <w:rFonts w:ascii="Times New Roman" w:eastAsia="MS Mincho" w:hAnsi="Times New Roman"/>
                <w:bCs/>
                <w:color w:val="000000"/>
                <w:sz w:val="22"/>
                <w:szCs w:val="22"/>
                <w:lang w:val="ru-RU" w:eastAsia="ja-JP"/>
              </w:rPr>
              <w:t>&lt;1&gt;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аварий на объектах коммунальной инфраструктуры в сфере </w:t>
            </w:r>
            <w:proofErr w:type="spellStart"/>
            <w:r>
              <w:rPr>
                <w:sz w:val="22"/>
                <w:szCs w:val="22"/>
              </w:rPr>
              <w:t>водо</w:t>
            </w:r>
            <w:proofErr w:type="spellEnd"/>
            <w:r>
              <w:rPr>
                <w:sz w:val="22"/>
                <w:szCs w:val="22"/>
              </w:rPr>
              <w:t>-, теплоснабжения и водоотведения при производстве, транспортировке и распределении коммунальных ресурсов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&lt;2&gt;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исполнен, является обратным. Установленное плановое значение показател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максимальное возможное количество аварий. Основное условие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показателя-отсутствие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аварий.</w:t>
            </w: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протяженности сетей газоснабжения, срок эксплуатации которых более 30 лет, в общей протяженности 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исполнен, является обратным. Отклонение показателя обусловлено уменьшением протяженности сетей в связи с исключением их из реестра муниципальной собственности, отсутствием в плане 2019 года капитального ремонта сетей газоснабжения.</w:t>
            </w: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аварий на объектах газоснабжения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исполнен, является обратным. Установленное плановое значение показател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максимальное возможное количество аварий. Основное условие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показателя-отсутствие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аварий.</w:t>
            </w: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протяженности ветхих сетей энергоснабжения, в общей протяженности 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 аварий на объектах энергоснабжения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исполнен, является обратным. Установленное плановое значение показател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максимальное возможное количество аварий. Основное условие исполнения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показателя-отсутствие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аварий.</w:t>
            </w: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объектов (систем)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 </w:t>
            </w:r>
            <w:r>
              <w:rPr>
                <w:rFonts w:ascii="Times New Roman" w:eastAsia="MS Mincho" w:hAnsi="Times New Roman"/>
                <w:bCs/>
                <w:color w:val="000000"/>
                <w:sz w:val="22"/>
                <w:szCs w:val="22"/>
                <w:lang w:val="ru-RU" w:eastAsia="ja-JP"/>
              </w:rPr>
              <w:t>&lt;3&gt;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передачи сетей холодного водоснабжения и водоотведения в концессию не производилась.</w:t>
            </w: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заемных средств в общем объеме капитальных вложений в системы теплоснабжения, водоснабжения, водоотведения  и очистки сточных вод</w:t>
            </w:r>
            <w:r>
              <w:rPr>
                <w:rFonts w:eastAsia="MS Mincho"/>
                <w:bCs/>
                <w:color w:val="000000"/>
                <w:sz w:val="22"/>
                <w:szCs w:val="22"/>
                <w:lang w:eastAsia="ja-JP"/>
              </w:rPr>
              <w:t>&lt;2&gt;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Объем вложений частных инвесторов на развитие жилищно-коммунального комплекса муниципального образования на 10 тыс. населения&lt;4&gt;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2375,99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10 378,48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средств местного бюджета или предоставление муниципальных гарантий в финансировании инвестиционной программы организации, оказывающей услуги по водоснабжению, водоотведению на территории муниципального образования, на 10 тыс. населения &lt;4&gt;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уб./ 10 тыс.чел.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показатель не запланирован. В связи с отсутствием концессионного соглашения инвестиционная программа по сетям водоснабжения и водоотведения не разрабатывалась. Планируемый срок заключения Соглашения -2021 год</w:t>
            </w: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реализованных мероприятий инвестиционных программ организаций, оказывающих услуги по теплоснабжению на территории муниципального образования, на 10 тыс. населения &lt;4&gt;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уб./ 10 тыс.чел.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1355,37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7387,85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утвержденных инвестиционных программ в сферах тепло-, водоснабжения и водоотведения к общему количеству тарифных решений таких организаций на территории муниципального образования &lt;4&gt;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&lt;1&gt; 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>
        <w:rPr>
          <w:rFonts w:ascii="Times New Roman" w:hAnsi="Times New Roman" w:cs="Times New Roman"/>
        </w:rPr>
        <w:t>Югры</w:t>
      </w:r>
      <w:proofErr w:type="spellEnd"/>
      <w:r>
        <w:rPr>
          <w:rFonts w:ascii="Times New Roman" w:hAnsi="Times New Roman" w:cs="Times New Roman"/>
        </w:rPr>
        <w:t xml:space="preserve"> или иной правовой акт, которым установлен данный показатель.</w:t>
      </w:r>
    </w:p>
    <w:p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&lt;2&gt;Расчет степени достижения целевого показателя осуществляется по следующей формуле: </w:t>
      </w:r>
    </w:p>
    <w:p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Для прямого показателя  факт/план*100 (положительной динамикой является увеличение значения показателя).</w:t>
      </w:r>
    </w:p>
    <w:p>
      <w:pPr>
        <w:tabs>
          <w:tab w:val="left" w:pos="5670"/>
        </w:tabs>
      </w:pPr>
      <w:r>
        <w:t>2) Для обратного показателя   (100-факт/план*100)+100 (положительной динамикой является снижение значения показателя).</w:t>
      </w: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МКУ «УЖКХ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О.А.Лаушкин</w:t>
      </w:r>
      <w:proofErr w:type="spellEnd"/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«__»_________20__г.  подпись____________                        </w:t>
      </w:r>
    </w:p>
    <w:p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Исполнитель:Главный</w:t>
      </w:r>
      <w:proofErr w:type="spellEnd"/>
      <w:r>
        <w:rPr>
          <w:rFonts w:ascii="Times New Roman" w:hAnsi="Times New Roman" w:cs="Times New Roman"/>
        </w:rPr>
        <w:t xml:space="preserve"> специалист ПТО МКУ «УЖКХ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рай</w:t>
      </w:r>
      <w:proofErr w:type="spellEnd"/>
      <w:r>
        <w:rPr>
          <w:rFonts w:ascii="Times New Roman" w:hAnsi="Times New Roman" w:cs="Times New Roman"/>
        </w:rPr>
        <w:t>»</w:t>
      </w:r>
    </w:p>
    <w:p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Нурмухаметова</w:t>
      </w:r>
      <w:proofErr w:type="spellEnd"/>
      <w:r>
        <w:rPr>
          <w:rFonts w:ascii="Times New Roman" w:hAnsi="Times New Roman" w:cs="Times New Roman"/>
        </w:rPr>
        <w:t xml:space="preserve"> Светлана Владимировна контактный телефон 83467623386 доб.375</w:t>
      </w:r>
    </w:p>
    <w:p/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markup="0" w:comments="0" w:insDel="0" w:formatting="0" w:inkAnnotations="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5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435</dc:creator>
  <cp:keywords/>
  <dc:description/>
  <cp:lastModifiedBy>435</cp:lastModifiedBy>
  <cp:revision>18</cp:revision>
  <cp:lastPrinted>2020-03-02T04:42:00Z</cp:lastPrinted>
  <dcterms:created xsi:type="dcterms:W3CDTF">2020-02-06T06:16:00Z</dcterms:created>
  <dcterms:modified xsi:type="dcterms:W3CDTF">2020-04-15T05:50:00Z</dcterms:modified>
</cp:coreProperties>
</file>