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ED" w:rsidRDefault="00F741ED">
      <w:pPr>
        <w:pStyle w:val="ConsPlusNormal"/>
        <w:jc w:val="right"/>
        <w:outlineLvl w:val="0"/>
      </w:pPr>
      <w:r>
        <w:t>Приложение 17</w:t>
      </w:r>
    </w:p>
    <w:p w:rsidR="00F741ED" w:rsidRDefault="00F741ED">
      <w:pPr>
        <w:pStyle w:val="ConsPlusNormal"/>
        <w:jc w:val="right"/>
      </w:pPr>
      <w:r>
        <w:t>к постановлению Правительства</w:t>
      </w:r>
    </w:p>
    <w:p w:rsidR="00F741ED" w:rsidRDefault="00F741ED">
      <w:pPr>
        <w:pStyle w:val="ConsPlusNormal"/>
        <w:jc w:val="right"/>
      </w:pPr>
      <w:r>
        <w:t>Ханты-Мансийского</w:t>
      </w:r>
    </w:p>
    <w:p w:rsidR="00F741ED" w:rsidRDefault="00F741ED">
      <w:pPr>
        <w:pStyle w:val="ConsPlusNormal"/>
        <w:jc w:val="right"/>
      </w:pPr>
      <w:r>
        <w:t>автономного округа - Югры</w:t>
      </w:r>
    </w:p>
    <w:p w:rsidR="00F741ED" w:rsidRDefault="00F741ED">
      <w:pPr>
        <w:pStyle w:val="ConsPlusNormal"/>
        <w:jc w:val="right"/>
      </w:pPr>
      <w:r>
        <w:t>от 5 октября 2018 года N 344-п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Title"/>
        <w:jc w:val="center"/>
      </w:pPr>
      <w:r>
        <w:t>ПОРЯДОК</w:t>
      </w:r>
    </w:p>
    <w:p w:rsidR="00F741ED" w:rsidRDefault="00F741ED">
      <w:pPr>
        <w:pStyle w:val="ConsPlusTitle"/>
        <w:jc w:val="center"/>
      </w:pPr>
      <w:r>
        <w:t>РАСЧЕТА И ПРЕДОСТАВЛЕНИЯ СУБСИДИИ НА ПОДДЕРЖКУ</w:t>
      </w:r>
    </w:p>
    <w:p w:rsidR="00F741ED" w:rsidRDefault="00F741ED">
      <w:pPr>
        <w:pStyle w:val="ConsPlusTitle"/>
        <w:jc w:val="center"/>
      </w:pPr>
      <w:r>
        <w:t>РАСТЕНИЕВОДСТВА, ПЕРЕРАБОТКИ И РЕАЛИЗАЦИИ ПРОДУКЦИИ</w:t>
      </w:r>
    </w:p>
    <w:p w:rsidR="00F741ED" w:rsidRDefault="00F741ED">
      <w:pPr>
        <w:pStyle w:val="ConsPlusTitle"/>
        <w:jc w:val="center"/>
      </w:pPr>
      <w:r>
        <w:t>РАСТЕНИЕВОДСТВА, НА ПОДДЕРЖКУ ЖИВОТНОВОДСТВА, ПЕРЕРАБОТКИ</w:t>
      </w:r>
    </w:p>
    <w:p w:rsidR="00F741ED" w:rsidRDefault="00F741ED">
      <w:pPr>
        <w:pStyle w:val="ConsPlusTitle"/>
        <w:jc w:val="center"/>
      </w:pPr>
      <w:r>
        <w:t>И РЕАЛИЗАЦИИ ПРОДУКЦИИ ЖИВОТНОВОДСТВА, НА ПОДДЕРЖКУ МЯСНОГО</w:t>
      </w:r>
    </w:p>
    <w:p w:rsidR="00F741ED" w:rsidRDefault="00F741ED">
      <w:pPr>
        <w:pStyle w:val="ConsPlusTitle"/>
        <w:jc w:val="center"/>
      </w:pPr>
      <w:r>
        <w:t>СКОТОВОДСТВА, ПЕРЕРАБОТКИ И РЕАЛИЗАЦИИ ПРОДУКЦИИ МЯСНОГО</w:t>
      </w:r>
    </w:p>
    <w:p w:rsidR="00F741ED" w:rsidRDefault="00F741ED">
      <w:pPr>
        <w:pStyle w:val="ConsPlusTitle"/>
        <w:jc w:val="center"/>
      </w:pPr>
      <w:r>
        <w:t>СКОТОВОДСТВА (ДАЛЕЕ - ПОРЯДОК)</w:t>
      </w:r>
    </w:p>
    <w:p w:rsidR="00F741ED" w:rsidRDefault="00F741ED">
      <w:pPr>
        <w:pStyle w:val="ConsPlusNormal"/>
      </w:pPr>
    </w:p>
    <w:p w:rsidR="00F741ED" w:rsidRDefault="00F741ED">
      <w:pPr>
        <w:pStyle w:val="ConsPlusTitle"/>
        <w:jc w:val="center"/>
        <w:outlineLvl w:val="1"/>
      </w:pPr>
      <w:r>
        <w:t>I. Условия предоставления и размер субсидии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Normal"/>
        <w:ind w:firstLine="540"/>
        <w:jc w:val="both"/>
      </w:pPr>
      <w:r>
        <w:t xml:space="preserve">1.1. Порядок определяет правила расчета и предоставления субсидии для реализации мероприятия 1.1 "Государственная поддержка производства, переработки и реализации продукции растениеводства" </w:t>
      </w:r>
      <w:hyperlink r:id="rId4" w:history="1">
        <w:r>
          <w:rPr>
            <w:color w:val="0000FF"/>
          </w:rPr>
          <w:t>подпрограммы 1</w:t>
        </w:r>
      </w:hyperlink>
      <w:r>
        <w:t xml:space="preserve"> "Развитие отрасли растениеводства", мероприятия 2.1 "Государственная поддержка племенного животноводства, производства и реализации продукции животноводства" мероприятия 2.4 "Государственная поддержка производства и реализации продукции мясного скотоводства" </w:t>
      </w:r>
      <w:hyperlink r:id="rId5" w:history="1">
        <w:r>
          <w:rPr>
            <w:color w:val="0000FF"/>
          </w:rPr>
          <w:t>подпрограммы 2</w:t>
        </w:r>
      </w:hyperlink>
      <w:r>
        <w:t xml:space="preserve"> "Развитие отрасли животноводства"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- субсидия) из бюджетов муниципальных образований Ханты-Мансийского автономного округа - Югры (далее - автономный округ) за счет субвенций из бюджета автономного округа.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0" w:name="Par19"/>
      <w:bookmarkEnd w:id="0"/>
      <w: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Субсидия предоставляется при осуществлении следующих видов деятельности: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" w:name="Par23"/>
      <w:bookmarkEnd w:id="1"/>
      <w:r>
        <w:t>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реализация продукции растениеводства в открытом грунте собственного производства (за исключением личных подсобных хозяйств);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реализация продукции птицеводства собственного производства (за исключением личных подсобных хозяйств);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2" w:name="Par26"/>
      <w:bookmarkEnd w:id="2"/>
      <w:r>
        <w:lastRenderedPageBreak/>
        <w:t>реализация продукции звероводства собственного производства (за исключением личных подсобных хозяйств);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3" w:name="Par29"/>
      <w:bookmarkEnd w:id="3"/>
      <w: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4" w:name="Par31"/>
      <w:bookmarkEnd w:id="4"/>
      <w:r>
        <w:t>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Предоставление субсидии осуществляется по </w:t>
      </w:r>
      <w:hyperlink r:id="rId8" w:history="1">
        <w:r>
          <w:rPr>
            <w:color w:val="0000FF"/>
          </w:rPr>
          <w:t>ставкам</w:t>
        </w:r>
      </w:hyperlink>
      <w:r>
        <w:t xml:space="preserve">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 Для сельскохозяйственных товаропроизводителей, реализующих произведенную продукцию в переработанном виде, обязательно наличие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непереработанном виде, наличие статуса не требуется.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скотоводства, </w:t>
      </w:r>
      <w:r>
        <w:lastRenderedPageBreak/>
        <w:t>утверждает Департамент промышленности автономного округа (далее - Департамент).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Получатели, которым в текущем финансовом году выплачена субсидия по направлению, установленному </w:t>
      </w:r>
      <w:hyperlink w:anchor="Par29" w:tooltip="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..." w:history="1">
        <w:r>
          <w:rPr>
            <w:color w:val="0000FF"/>
          </w:rPr>
          <w:t>абзацем одиннадцатым пункта 1.2</w:t>
        </w:r>
      </w:hyperlink>
      <w:r>
        <w:t xml:space="preserve"> Порядка, также вправе обратиться в Уполномоченный орган за предоставлением субсидии по направлениям, установленным </w:t>
      </w:r>
      <w:hyperlink w:anchor="Par23" w:tooltip="реализация продукции растениеводства в защищенном грунте собственного производства (за исключением личных подсобных хозяйств);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ar26" w:tooltip="реализация продукции звероводства собственного производства (за исключением личных подсобных хозяйств);" w:history="1">
        <w:r>
          <w:rPr>
            <w:color w:val="0000FF"/>
          </w:rPr>
          <w:t>восьмым пункта 1.2</w:t>
        </w:r>
      </w:hyperlink>
      <w:r>
        <w:t xml:space="preserve"> Порядка.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Размер субсидии,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производства, рассчитывается по формуле:</w:t>
      </w:r>
    </w:p>
    <w:p w:rsidR="00F741ED" w:rsidRDefault="00F741ED">
      <w:pPr>
        <w:pStyle w:val="ConsPlusNormal"/>
        <w:jc w:val="both"/>
      </w:pPr>
    </w:p>
    <w:p w:rsidR="00F741ED" w:rsidRDefault="00A05CB7">
      <w:pPr>
        <w:pStyle w:val="ConsPlusNormal"/>
        <w:ind w:firstLine="540"/>
        <w:jc w:val="both"/>
      </w:pPr>
      <w:r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36.95pt">
            <v:imagedata r:id="rId9" o:title=""/>
          </v:shape>
        </w:pict>
      </w:r>
      <w:r w:rsidR="00F741ED">
        <w:t>, где: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Normal"/>
        <w:ind w:firstLine="540"/>
        <w:jc w:val="both"/>
      </w:pPr>
      <w:r>
        <w:t>Vi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Ki - валовой объем производства (реализации) продукции Получателем по каждому виду деятельности в текущем финансовом году;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Kмо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Vмо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F741ED" w:rsidRDefault="00F741ED">
      <w:pPr>
        <w:pStyle w:val="ConsPlusNormal"/>
        <w:jc w:val="both"/>
      </w:pPr>
    </w:p>
    <w:p w:rsidR="00F741ED" w:rsidRDefault="00A05CB7">
      <w:pPr>
        <w:pStyle w:val="ConsPlusNormal"/>
        <w:ind w:firstLine="540"/>
        <w:jc w:val="both"/>
      </w:pPr>
      <w:r>
        <w:rPr>
          <w:position w:val="-24"/>
        </w:rPr>
        <w:pict>
          <v:shape id="_x0000_i1026" type="#_x0000_t75" style="width:96.4pt;height:36.95pt">
            <v:imagedata r:id="rId10" o:title=""/>
          </v:shape>
        </w:pict>
      </w:r>
      <w:r w:rsidR="00F741ED">
        <w:t>, где: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Normal"/>
        <w:ind w:firstLine="540"/>
        <w:jc w:val="both"/>
      </w:pPr>
      <w:r>
        <w:t>Vi - размер субсидии в текущем финансовом году для Получателя по видам деятельности на содержание маточного поголовья;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Пi - маточное поголовье животных по соответствующим видам деятельности;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Пмо - общее маточное поголовье животных по соответствующим видам деятельности муниципального образования;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Vмо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</w:t>
      </w:r>
      <w:r>
        <w:lastRenderedPageBreak/>
        <w:t>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муниципальному образованию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1.4. 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Для юридических лиц, индивидуальных предпринимателей, крестьянских (фермерских) хозяйств: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осуществление деятельности в автономном округе;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9" w:tooltip="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Для Получателей, ведущих личное подсобное хозяйство: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lastRenderedPageBreak/>
        <w:t>Федерации о налогах и сборах;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субсидий, предоставленных в том числе в соответствии с иными правовыми актами, и иной просроченной задолженности перед муниципальным образованием;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осуществляют ведение личного подсобного хозяйства на территории автономного округа;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цели, указанные в </w:t>
      </w:r>
      <w:hyperlink w:anchor="Par19" w:tooltip="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5" w:name="Par66"/>
      <w:bookmarkEnd w:id="5"/>
      <w:r>
        <w:t>1.5. Критерии отбора Получателей: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 при осуществлении деятельности в сфере животноводства (птицеводства, клеточного звероводства);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по направлениям, установленным </w:t>
      </w:r>
      <w:hyperlink w:anchor="Par84" w:tooltip="2.1.2. На содержание маточного поголовья крупного рогатого скота специализированных мясных пород - до 5 рабочего дня соответствующего месяца: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ar93" w:tooltip="2.1.4. На содержание маточного поголовья сельскохозяйственных животных - до 15 марта, до 15 июля:" w:history="1">
        <w:r>
          <w:rPr>
            <w:color w:val="0000FF"/>
          </w:rPr>
          <w:t>2.1.4 пункта 2.1</w:t>
        </w:r>
      </w:hyperlink>
      <w:r>
        <w:t xml:space="preserve"> Порядка.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Title"/>
        <w:jc w:val="center"/>
        <w:outlineLvl w:val="1"/>
      </w:pPr>
      <w:r>
        <w:t>II. Правила предоставления субсидии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Normal"/>
        <w:ind w:firstLine="540"/>
        <w:jc w:val="both"/>
      </w:pPr>
      <w:bookmarkStart w:id="6" w:name="Par73"/>
      <w:bookmarkEnd w:id="6"/>
      <w: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Получатели представляют в Уполномоченный орган: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7" w:name="Par76"/>
      <w:bookmarkEnd w:id="7"/>
      <w:r>
        <w:t>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8" w:name="Par77"/>
      <w:bookmarkEnd w:id="8"/>
      <w:r>
        <w:lastRenderedPageBreak/>
        <w:t>заявление о предоставлении субсидии по форме, установленной Уполномоченным органом;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9" w:name="Par80"/>
      <w:bookmarkEnd w:id="9"/>
      <w: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0" w:name="Par81"/>
      <w:bookmarkEnd w:id="10"/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копию договора, подтверждающего страхование имеющегося поголовья свиней (для свиноводческих организаций при наличии III или IV зоосанитарного статуса (компартмента) с 1 июля 2019 года.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1" w:name="Par83"/>
      <w:bookmarkEnd w:id="11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2" w:name="Par84"/>
      <w:bookmarkEnd w:id="12"/>
      <w:r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3" w:name="Par85"/>
      <w:bookmarkEnd w:id="13"/>
      <w:r>
        <w:t>заявление о предоставлении субсидии по форме, установленной Уполномоченным органом;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4" w:name="Par88"/>
      <w:bookmarkEnd w:id="14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2.1.3. На содержание маточного поголовья животных (личные подсобные хозяйства) - до 1 августа: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5" w:name="Par90"/>
      <w:bookmarkEnd w:id="15"/>
      <w:r>
        <w:lastRenderedPageBreak/>
        <w:t>заявление о предоставлении субсидии по форме, установленной Уполномоченным органом;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копию документа, удостоверяющего личность гражданина;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6" w:name="Par92"/>
      <w:bookmarkEnd w:id="16"/>
      <w:r>
        <w:t>копию ветеринарно-санитарного паспорта подворья.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7" w:name="Par93"/>
      <w:bookmarkEnd w:id="17"/>
      <w:r>
        <w:t>2.1.4. На содержание маточного поголовья сельскохозяйственных животных - до 15 марта, до 15 июля: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заявление о предоставлении субсидии по форме, установленной Уполномоченным органом;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Департаментом;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3" w:tooltip="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" w:history="1">
        <w:r>
          <w:rPr>
            <w:color w:val="0000FF"/>
          </w:rPr>
          <w:t>пункте 2.1</w:t>
        </w:r>
      </w:hyperlink>
      <w:r>
        <w:t xml:space="preserve"> Порядка (далее - документы).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Должностное лицо Уполномоченного органа, ответственное за прием документов, в течение 1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Форматно-логическая проверка сформированных документов осуществляется автоматически </w:t>
      </w:r>
      <w:r>
        <w:lastRenderedPageBreak/>
        <w:t>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2.3. Требовать от Получателя представления документов, не предусмотренных Порядком, не допускается.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2.4. Документы, предусмотренные в </w:t>
      </w:r>
      <w:hyperlink w:anchor="Par73" w:tooltip="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" w:history="1">
        <w:r>
          <w:rPr>
            <w:color w:val="0000FF"/>
          </w:rPr>
          <w:t>пункте 2.1</w:t>
        </w:r>
      </w:hyperlink>
      <w:r>
        <w:t xml:space="preserve"> Порядка, представляются в Уполномоченный орган одним из следующих способов: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2) в электронной форме - с использованием Портала.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выписку из Единого государственного реестра недвижимости о правах отдельного лица на </w:t>
      </w:r>
      <w:r>
        <w:lastRenderedPageBreak/>
        <w:t>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по направлениям, установленным </w:t>
      </w:r>
      <w:hyperlink w:anchor="Par84" w:tooltip="2.1.2. На содержание маточного поголовья крупного рогатого скота специализированных мясных пород - до 5 рабочего дня соответствующего месяца: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ar93" w:tooltip="2.1.4. На содержание маточного поголовья сельскохозяйственных животных - до 15 марта, до 15 июля:" w:history="1">
        <w:r>
          <w:rPr>
            <w:color w:val="0000FF"/>
          </w:rPr>
          <w:t>2.1.4 пункта 2.1</w:t>
        </w:r>
      </w:hyperlink>
      <w: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направлениям, предусмотренным </w:t>
      </w:r>
      <w:hyperlink w:anchor="Par76" w:tooltip="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..." w:history="1">
        <w:r>
          <w:rPr>
            <w:color w:val="0000FF"/>
          </w:rPr>
          <w:t>подпунктом 2.1.1 пункта 2.1</w:t>
        </w:r>
      </w:hyperlink>
      <w:r>
        <w:t xml:space="preserve"> Порядка (в Ветеринарной службе автономного округа) - с 1 июля 2019 года;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w:anchor="Par76" w:tooltip="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..." w:history="1">
        <w:r>
          <w:rPr>
            <w:color w:val="0000FF"/>
          </w:rPr>
          <w:t>подпунктом 2.1.1 пункта 2.1</w:t>
        </w:r>
      </w:hyperlink>
      <w:r>
        <w:t xml:space="preserve"> Порядка (в Министерстве сельского хозяйства Российской Федерации), - с 1 января 2020 года;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9" w:tooltip="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" w:history="1">
        <w:r>
          <w:rPr>
            <w:color w:val="0000FF"/>
          </w:rPr>
          <w:t>пункте 1.2</w:t>
        </w:r>
      </w:hyperlink>
      <w:r>
        <w:t xml:space="preserve"> Порядка (в органе местного самоуправления муниципального образования автономного округа);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в отношении личных подсобных хозяйств - выписку из похозяйственной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2.6. Уполномоченный орган в течение 10 рабочих дней с даты регистрации документов, указанных в </w:t>
      </w:r>
      <w:hyperlink w:anchor="Par73" w:tooltip="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" w:history="1">
        <w:r>
          <w:rPr>
            <w:color w:val="0000FF"/>
          </w:rPr>
          <w:t>пункте 2.1</w:t>
        </w:r>
      </w:hyperlink>
      <w: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ar31" w:tooltip="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.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ar66" w:tooltip="1.5. Критерии отбора Получателей:" w:history="1">
        <w:r>
          <w:rPr>
            <w:color w:val="0000FF"/>
          </w:rPr>
          <w:t>1.5</w:t>
        </w:r>
      </w:hyperlink>
      <w:r>
        <w:t xml:space="preserve"> Порядка.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8" w:name="Par125"/>
      <w:bookmarkEnd w:id="18"/>
      <w: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</w:t>
      </w:r>
      <w:r>
        <w:lastRenderedPageBreak/>
        <w:t>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2.9. Соглашение должно содержать следующие положения: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значения показателей результативности;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порядок контроля соблюдения Получателем условий Соглашения;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план контрольных мероприятий;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расчет размера штрафных санкций.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F741ED" w:rsidRDefault="00F741ED">
      <w:pPr>
        <w:pStyle w:val="ConsPlusNormal"/>
        <w:spacing w:before="240"/>
        <w:ind w:firstLine="540"/>
        <w:jc w:val="both"/>
      </w:pPr>
      <w:bookmarkStart w:id="19" w:name="Par137"/>
      <w:bookmarkEnd w:id="19"/>
      <w:r>
        <w:t>2.11. Основаниями для отказа в предоставлении субсидии являются: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добровольный письменный отказ Получателя от субсидии;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отсутствие лимитов, предусмотренных для предоставления субсидии в бюджете муниципального образования;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нарушение срока представления документов, установленного </w:t>
      </w:r>
      <w:hyperlink w:anchor="Par73" w:tooltip="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" w:history="1">
        <w:r>
          <w:rPr>
            <w:color w:val="0000FF"/>
          </w:rPr>
          <w:t>пунктом 2.1</w:t>
        </w:r>
      </w:hyperlink>
      <w:r>
        <w:t xml:space="preserve"> Порядка, </w:t>
      </w:r>
      <w:hyperlink w:anchor="Par125" w:tooltip="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" w:history="1">
        <w:r>
          <w:rPr>
            <w:color w:val="0000FF"/>
          </w:rPr>
          <w:t>абзацем вторым пункта 2.7</w:t>
        </w:r>
      </w:hyperlink>
      <w:r>
        <w:t xml:space="preserve"> Порядка;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непредставление Получателем документов (предоставление не в полном объеме), указанных в </w:t>
      </w:r>
      <w:hyperlink w:anchor="Par73" w:tooltip="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представление документов, установленных </w:t>
      </w:r>
      <w:hyperlink w:anchor="Par73" w:tooltip="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" w:history="1">
        <w:r>
          <w:rPr>
            <w:color w:val="0000FF"/>
          </w:rPr>
          <w:t>пунктом 2.1</w:t>
        </w:r>
      </w:hyperlink>
      <w:r>
        <w:t xml:space="preserve"> Порядка, с нарушением требований к </w:t>
      </w:r>
      <w:r>
        <w:lastRenderedPageBreak/>
        <w:t xml:space="preserve">их оформлению, указанных </w:t>
      </w:r>
      <w:hyperlink w:anchor="Par77" w:tooltip="заявление о предоставлении субсидии по форме, установленной Уполномоченным органом;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80" w:tooltip="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..." w:history="1">
        <w:r>
          <w:rPr>
            <w:color w:val="0000FF"/>
          </w:rPr>
          <w:t>пятым</w:t>
        </w:r>
      </w:hyperlink>
      <w:r>
        <w:t xml:space="preserve">, </w:t>
      </w:r>
      <w:hyperlink w:anchor="Par81" w:tooltip="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" w:history="1">
        <w:r>
          <w:rPr>
            <w:color w:val="0000FF"/>
          </w:rPr>
          <w:t>шестым</w:t>
        </w:r>
      </w:hyperlink>
      <w:r>
        <w:t xml:space="preserve">, </w:t>
      </w:r>
      <w:hyperlink w:anchor="Par83" w:tooltip="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" w:history="1">
        <w:r>
          <w:rPr>
            <w:color w:val="0000FF"/>
          </w:rPr>
          <w:t>восьмым подпункта 2.1.1 пункта 2.1</w:t>
        </w:r>
      </w:hyperlink>
      <w:r>
        <w:t xml:space="preserve"> Порядка, </w:t>
      </w:r>
      <w:hyperlink w:anchor="Par85" w:tooltip="заявление о предоставлении субсидии по форме, установленной Уполномоченным органом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88" w:tooltip="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" w:history="1">
        <w:r>
          <w:rPr>
            <w:color w:val="0000FF"/>
          </w:rPr>
          <w:t>пятым подпункта 2.1.2 пункта 2.1</w:t>
        </w:r>
      </w:hyperlink>
      <w:r>
        <w:t xml:space="preserve"> Порядка, </w:t>
      </w:r>
      <w:hyperlink w:anchor="Par90" w:tooltip="заявление о предоставлении субсидии по форме, установленной Уполномоченным органом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92" w:tooltip="копию ветеринарно-санитарного паспорта подворья." w:history="1">
        <w:r>
          <w:rPr>
            <w:color w:val="0000FF"/>
          </w:rPr>
          <w:t>четвертым подпункта 2.1.3 пункта 2.1</w:t>
        </w:r>
      </w:hyperlink>
      <w:r>
        <w:t xml:space="preserve"> Порядка;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недостоверность представленной Получателем информации;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ar31" w:tooltip="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.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ar66" w:tooltip="1.5. Критерии отбора Получателей:" w:history="1">
        <w:r>
          <w:rPr>
            <w:color w:val="0000FF"/>
          </w:rPr>
          <w:t>1.5</w:t>
        </w:r>
      </w:hyperlink>
      <w:r>
        <w:t xml:space="preserve"> Порядка, и (или) целей предоставления субсидии направлениям, установленным </w:t>
      </w:r>
      <w:hyperlink w:anchor="Par19" w:tooltip="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" w:history="1">
        <w:r>
          <w:rPr>
            <w:color w:val="0000FF"/>
          </w:rPr>
          <w:t>пунктом 1.2</w:t>
        </w:r>
      </w:hyperlink>
      <w:r>
        <w:t xml:space="preserve"> Порядка;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предъявление объемов реализованной продукции растениеводства в защищенном грунте, произведенной в сооружениях сезонного срока действия;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этапность,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2.12. В случае отсутствия оснований, предусмотренных в </w:t>
      </w:r>
      <w:hyperlink w:anchor="Par137" w:tooltip="2.11. Основаниями для отказа в предоставлении субсидии являются:" w:history="1">
        <w:r>
          <w:rPr>
            <w:color w:val="0000FF"/>
          </w:rPr>
          <w:t>пункте 2.11</w:t>
        </w:r>
      </w:hyperlink>
      <w: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lastRenderedPageBreak/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2.14.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Title"/>
        <w:jc w:val="center"/>
        <w:outlineLvl w:val="1"/>
      </w:pPr>
      <w:r>
        <w:t>III. Правила возврата субсидии в случае нарушения условий,</w:t>
      </w:r>
    </w:p>
    <w:p w:rsidR="00F741ED" w:rsidRDefault="00F741ED">
      <w:pPr>
        <w:pStyle w:val="ConsPlusTitle"/>
        <w:jc w:val="center"/>
      </w:pPr>
      <w:r>
        <w:t>установленных при ее предоставлении</w:t>
      </w:r>
    </w:p>
    <w:p w:rsidR="00F741ED" w:rsidRDefault="00F741ED">
      <w:pPr>
        <w:pStyle w:val="ConsPlusNormal"/>
        <w:jc w:val="both"/>
      </w:pPr>
    </w:p>
    <w:p w:rsidR="00F741ED" w:rsidRDefault="00F741ED">
      <w:pPr>
        <w:pStyle w:val="ConsPlusNormal"/>
        <w:ind w:firstLine="540"/>
        <w:jc w:val="both"/>
      </w:pPr>
      <w:bookmarkStart w:id="20" w:name="Par163"/>
      <w:bookmarkEnd w:id="20"/>
      <w: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 xml:space="preserve">3.1.1. Уполномоченный орган в течение 5 рабочих дней с даты выявления нарушения, указанного в </w:t>
      </w:r>
      <w:hyperlink w:anchor="Par163" w:tooltip="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" w:history="1">
        <w:r>
          <w:rPr>
            <w:color w:val="0000FF"/>
          </w:rPr>
          <w:t>пункте 3.1</w:t>
        </w:r>
      </w:hyperlink>
      <w:r>
        <w:t xml:space="preserve">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3.1.2. Получатель в течение 30 рабочих дней со дня получения уведомления обязан выполнить требования, указанные в нем.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3.2. В случае выявления факта недостижения показателей результативности использования субсидии, установленных Соглашением: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3.2.2.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F741ED" w:rsidRDefault="00F741ED">
      <w:pPr>
        <w:pStyle w:val="ConsPlusNormal"/>
        <w:spacing w:before="240"/>
        <w:ind w:firstLine="540"/>
        <w:jc w:val="both"/>
      </w:pPr>
      <w:r>
        <w:t>3.3. Ответственность за достоверность фактических показателей, сведений в представленных документах несет Получатель.</w:t>
      </w:r>
    </w:p>
    <w:sectPr w:rsidR="00F741E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36"/>
    <w:rsid w:val="000F7E36"/>
    <w:rsid w:val="00886A28"/>
    <w:rsid w:val="00A05CB7"/>
    <w:rsid w:val="00F7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0323&amp;date=03.02.2020&amp;dst=106868&amp;fld=134" TargetMode="External"/><Relationship Id="rId13" Type="http://schemas.openxmlformats.org/officeDocument/2006/relationships/hyperlink" Target="https://login.consultant.ru/link/?req=doc&amp;base=LAW&amp;n=210601&amp;date=03.02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03&amp;date=03.02.2020" TargetMode="External"/><Relationship Id="rId12" Type="http://schemas.openxmlformats.org/officeDocument/2006/relationships/hyperlink" Target="https://login.consultant.ru/link/?req=doc&amp;base=LAW&amp;n=304017&amp;date=03.0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03&amp;date=03.02.2020" TargetMode="External"/><Relationship Id="rId11" Type="http://schemas.openxmlformats.org/officeDocument/2006/relationships/hyperlink" Target="https://login.consultant.ru/link/?req=doc&amp;base=LAW&amp;n=342034&amp;date=03.02.2020" TargetMode="External"/><Relationship Id="rId5" Type="http://schemas.openxmlformats.org/officeDocument/2006/relationships/hyperlink" Target="https://login.consultant.ru/link/?req=doc&amp;base=RLAW926&amp;n=200323&amp;date=03.02.2020&amp;dst=217&amp;fld=13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hyperlink" Target="https://login.consultant.ru/link/?req=doc&amp;base=RLAW926&amp;n=200323&amp;date=03.02.2020&amp;dst=58&amp;fld=134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3834</Words>
  <Characters>39643</Characters>
  <Application>Microsoft Office Word</Application>
  <DocSecurity>2</DocSecurity>
  <Lines>330</Lines>
  <Paragraphs>86</Paragraphs>
  <ScaleCrop>false</ScaleCrop>
  <Company>КонсультантПлюс Версия 4018.00.50</Company>
  <LinksUpToDate>false</LinksUpToDate>
  <CharactersWithSpaces>43391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05.10.2018 N 344-п(ред. от 25.12.2019)"О государственной программе Ханты-Мансийского автономного округа - Югры "Развитие агропромышленного комплекса"(вместе с "Порядком предоставления субсидии на развитие северно</dc:title>
  <dc:creator>Бобылева Галина Николаевна</dc:creator>
  <cp:lastModifiedBy>Бобылева Галина Николаевна</cp:lastModifiedBy>
  <cp:revision>2</cp:revision>
  <dcterms:created xsi:type="dcterms:W3CDTF">2020-02-03T12:18:00Z</dcterms:created>
  <dcterms:modified xsi:type="dcterms:W3CDTF">2020-02-03T12:18:00Z</dcterms:modified>
</cp:coreProperties>
</file>