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18" w:rsidRPr="0036387D" w:rsidRDefault="0036387D" w:rsidP="0036387D">
      <w:pPr>
        <w:spacing w:after="120" w:line="240" w:lineRule="exact"/>
        <w:ind w:left="971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63541" w:rsidRPr="003638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4E18" w:rsidRPr="0036387D" w:rsidRDefault="00B17E1D" w:rsidP="0036387D">
      <w:pPr>
        <w:spacing w:after="120" w:line="240" w:lineRule="exact"/>
        <w:ind w:left="97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="00AC4E18" w:rsidRPr="0036387D">
        <w:rPr>
          <w:rFonts w:ascii="Times New Roman" w:hAnsi="Times New Roman" w:cs="Times New Roman"/>
          <w:sz w:val="24"/>
          <w:szCs w:val="24"/>
        </w:rPr>
        <w:t>иповой 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br/>
        <w:t>«Нулевой травматизм</w:t>
      </w:r>
      <w:r w:rsidR="0036387D" w:rsidRPr="0036387D">
        <w:rPr>
          <w:rFonts w:ascii="Times New Roman" w:hAnsi="Times New Roman" w:cs="Times New Roman"/>
          <w:sz w:val="24"/>
          <w:szCs w:val="24"/>
        </w:rPr>
        <w:t>»</w:t>
      </w:r>
    </w:p>
    <w:p w:rsidR="00AC4E18" w:rsidRDefault="00AC4E18" w:rsidP="0036387D">
      <w:pPr>
        <w:spacing w:before="120" w:after="0" w:line="240" w:lineRule="auto"/>
        <w:ind w:left="9720"/>
        <w:jc w:val="right"/>
        <w:rPr>
          <w:rFonts w:ascii="Times New Roman" w:hAnsi="Times New Roman" w:cs="Times New Roman"/>
          <w:sz w:val="28"/>
          <w:szCs w:val="28"/>
        </w:rPr>
      </w:pPr>
    </w:p>
    <w:p w:rsidR="00AC4E18" w:rsidRPr="002D1FCC" w:rsidRDefault="00AC4E18" w:rsidP="00363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18" w:rsidRPr="007D511B" w:rsidRDefault="00AC4E18" w:rsidP="00AB1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511B">
        <w:rPr>
          <w:rFonts w:ascii="Times New Roman" w:hAnsi="Times New Roman" w:cs="Times New Roman"/>
          <w:b/>
          <w:sz w:val="28"/>
          <w:szCs w:val="28"/>
        </w:rPr>
        <w:t>ПЕРЕЧЕНЬ  МЕРОПРИЯТИЙ</w:t>
      </w:r>
    </w:p>
    <w:p w:rsidR="00AC4E18" w:rsidRPr="007D511B" w:rsidRDefault="00AC4E18" w:rsidP="00AC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1B">
        <w:rPr>
          <w:rFonts w:ascii="Times New Roman" w:hAnsi="Times New Roman" w:cs="Times New Roman"/>
          <w:b/>
          <w:sz w:val="28"/>
          <w:szCs w:val="28"/>
        </w:rPr>
        <w:t xml:space="preserve">по реализации Типовой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D511B">
        <w:rPr>
          <w:rFonts w:ascii="Times New Roman" w:hAnsi="Times New Roman" w:cs="Times New Roman"/>
          <w:b/>
          <w:sz w:val="28"/>
          <w:szCs w:val="28"/>
        </w:rPr>
        <w:t>нулевого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4E18" w:rsidRPr="002D1FCC" w:rsidRDefault="00AC4E18" w:rsidP="00AC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533"/>
        <w:gridCol w:w="1843"/>
        <w:gridCol w:w="1559"/>
        <w:gridCol w:w="1418"/>
        <w:gridCol w:w="59"/>
        <w:gridCol w:w="1478"/>
        <w:gridCol w:w="22"/>
        <w:gridCol w:w="1417"/>
        <w:gridCol w:w="39"/>
        <w:gridCol w:w="1478"/>
        <w:gridCol w:w="43"/>
        <w:gridCol w:w="77"/>
        <w:gridCol w:w="1358"/>
      </w:tblGrid>
      <w:tr w:rsidR="00036C7B" w:rsidRPr="009876D3" w:rsidTr="0010545B">
        <w:tc>
          <w:tcPr>
            <w:tcW w:w="820" w:type="dxa"/>
            <w:vMerge w:val="restart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3" w:type="dxa"/>
            <w:vMerge w:val="restart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389" w:type="dxa"/>
            <w:gridSpan w:val="10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5B" w:rsidRPr="009876D3" w:rsidTr="0010545B">
        <w:tc>
          <w:tcPr>
            <w:tcW w:w="820" w:type="dxa"/>
            <w:vMerge/>
          </w:tcPr>
          <w:p w:rsidR="0010545B" w:rsidRPr="00431768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0545B" w:rsidRPr="00431768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545B" w:rsidRPr="00431768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45B" w:rsidRPr="00431768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10545B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8" w:type="dxa"/>
          </w:tcPr>
          <w:p w:rsidR="0010545B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8" w:type="dxa"/>
            <w:gridSpan w:val="3"/>
          </w:tcPr>
          <w:p w:rsidR="0010545B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8" w:type="dxa"/>
          </w:tcPr>
          <w:p w:rsidR="0010545B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8" w:type="dxa"/>
            <w:gridSpan w:val="3"/>
          </w:tcPr>
          <w:p w:rsidR="0010545B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36C7B" w:rsidRPr="009876D3" w:rsidTr="0010545B">
        <w:tc>
          <w:tcPr>
            <w:tcW w:w="16144" w:type="dxa"/>
            <w:gridSpan w:val="14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Стать лидером – показать приверженность принципам</w:t>
            </w:r>
          </w:p>
        </w:tc>
      </w:tr>
      <w:tr w:rsidR="00036C7B" w:rsidRPr="009876D3" w:rsidTr="0010545B">
        <w:tc>
          <w:tcPr>
            <w:tcW w:w="820" w:type="dxa"/>
          </w:tcPr>
          <w:p w:rsidR="00036C7B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3" w:type="dxa"/>
          </w:tcPr>
          <w:p w:rsidR="00915CB8" w:rsidRPr="004967EA" w:rsidRDefault="00915CB8" w:rsidP="00915CB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EA">
              <w:rPr>
                <w:rFonts w:ascii="Times New Roman" w:hAnsi="Times New Roman"/>
                <w:sz w:val="20"/>
                <w:szCs w:val="20"/>
              </w:rPr>
              <w:t>Создание службы охраны труда</w:t>
            </w:r>
          </w:p>
          <w:p w:rsidR="00036C7B" w:rsidRPr="002D1FCC" w:rsidRDefault="00915CB8" w:rsidP="0091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(введение должности специалиста по охране труда)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B8" w:rsidRPr="009876D3" w:rsidTr="0010545B">
        <w:tc>
          <w:tcPr>
            <w:tcW w:w="820" w:type="dxa"/>
          </w:tcPr>
          <w:p w:rsidR="00915CB8" w:rsidRPr="004967EA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4533" w:type="dxa"/>
          </w:tcPr>
          <w:p w:rsidR="00915CB8" w:rsidRPr="004967EA" w:rsidRDefault="00915CB8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1843" w:type="dxa"/>
          </w:tcPr>
          <w:p w:rsidR="00915CB8" w:rsidRPr="0043176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B8" w:rsidRPr="0043176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B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15CB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B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15CB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915CB8" w:rsidRDefault="00915CB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4533" w:type="dxa"/>
          </w:tcPr>
          <w:p w:rsidR="00036C7B" w:rsidRPr="002D1FCC" w:rsidRDefault="00036C7B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по охране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 работодателем лично (руководителем организации, индивиду</w:t>
            </w: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альным предпринимателем)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Pr="004967EA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7EA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4533" w:type="dxa"/>
          </w:tcPr>
          <w:p w:rsidR="00036C7B" w:rsidRPr="004967EA" w:rsidRDefault="00036C7B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1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гражданско-правового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с организацией или спе</w:t>
            </w:r>
            <w:r w:rsidRPr="00970613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0613">
              <w:rPr>
                <w:rFonts w:ascii="Times New Roman" w:hAnsi="Times New Roman" w:cs="Times New Roman"/>
                <w:sz w:val="20"/>
                <w:szCs w:val="20"/>
              </w:rPr>
              <w:t>казывающими</w:t>
            </w:r>
            <w:proofErr w:type="gramEnd"/>
            <w:r w:rsidRPr="00970613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области охраны труда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Pr="004967EA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3" w:type="dxa"/>
          </w:tcPr>
          <w:p w:rsidR="00036C7B" w:rsidRPr="004967EA" w:rsidRDefault="00036C7B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Консультировани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вопросам со</w:t>
            </w:r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блюдения требований трудового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аконодательства и проведение са</w:t>
            </w:r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мопроверки своей организации по средствам электронного сервиса «</w:t>
            </w:r>
            <w:proofErr w:type="spellStart"/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Онлайнинспекция</w:t>
            </w:r>
            <w:proofErr w:type="gramStart"/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20E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33" w:type="dxa"/>
          </w:tcPr>
          <w:p w:rsidR="00036C7B" w:rsidRPr="00920EA4" w:rsidRDefault="00036C7B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предпи</w:t>
            </w: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 xml:space="preserve">саний органов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надзора и контроля в установлен</w:t>
            </w: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>ные сроки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33" w:type="dxa"/>
          </w:tcPr>
          <w:p w:rsidR="00036C7B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>Включение вопросов состояния условий и охраны труда в повестки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совещаний, проводимых руководителем организации с заслушивани</w:t>
            </w: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>ем руководителей структурных подразделений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33" w:type="dxa"/>
          </w:tcPr>
          <w:p w:rsidR="00036C7B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</w:t>
            </w: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 xml:space="preserve">приятий, в том числе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внедрению всероссийского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</w:t>
            </w: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>культурно-спортивного комплекса «готов к труду и обороне» (ГТО)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9876D3" w:rsidTr="0010545B">
        <w:tc>
          <w:tcPr>
            <w:tcW w:w="820" w:type="dxa"/>
          </w:tcPr>
          <w:p w:rsidR="00036C7B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33" w:type="dxa"/>
          </w:tcPr>
          <w:p w:rsidR="00036C7B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 мероприятий (производственной гимна</w:t>
            </w:r>
            <w:r w:rsidRPr="004E22DD">
              <w:rPr>
                <w:rFonts w:ascii="Times New Roman" w:hAnsi="Times New Roman" w:cs="Times New Roman"/>
                <w:sz w:val="20"/>
                <w:szCs w:val="20"/>
              </w:rPr>
              <w:t>стики)</w:t>
            </w:r>
          </w:p>
        </w:tc>
        <w:tc>
          <w:tcPr>
            <w:tcW w:w="1843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C7B" w:rsidRPr="00431768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36C7B" w:rsidRDefault="00036C7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5B" w:rsidRPr="009876D3" w:rsidTr="0010545B">
        <w:tc>
          <w:tcPr>
            <w:tcW w:w="16144" w:type="dxa"/>
            <w:gridSpan w:val="14"/>
          </w:tcPr>
          <w:p w:rsidR="0010545B" w:rsidRDefault="0010545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0405D">
              <w:rPr>
                <w:rFonts w:ascii="Times New Roman" w:hAnsi="Times New Roman" w:cs="Times New Roman"/>
                <w:sz w:val="20"/>
                <w:szCs w:val="20"/>
              </w:rPr>
              <w:t>Выявлять угрозы – контролировать риски</w:t>
            </w: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систематизация информа</w:t>
            </w:r>
            <w:r w:rsidRPr="00F0405D">
              <w:rPr>
                <w:rFonts w:ascii="Times New Roman" w:hAnsi="Times New Roman" w:cs="Times New Roman"/>
                <w:sz w:val="20"/>
                <w:szCs w:val="20"/>
              </w:rPr>
              <w:t>ции о состоянии условий и охраны труда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и приведение в соответ</w:t>
            </w:r>
            <w:r w:rsidRPr="00F0405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с требованиями трудового законодательства существующих общественных отношений в организации с помощью проверочных ли</w:t>
            </w:r>
            <w:r w:rsidRPr="00F0405D">
              <w:rPr>
                <w:rFonts w:ascii="Times New Roman" w:hAnsi="Times New Roman" w:cs="Times New Roman"/>
                <w:sz w:val="20"/>
                <w:szCs w:val="20"/>
              </w:rPr>
              <w:t>стов сервиса «Эл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ектронный ин</w:t>
            </w:r>
            <w:r w:rsidRPr="00F0405D">
              <w:rPr>
                <w:rFonts w:ascii="Times New Roman" w:hAnsi="Times New Roman" w:cs="Times New Roman"/>
                <w:sz w:val="20"/>
                <w:szCs w:val="20"/>
              </w:rPr>
              <w:t>спектор»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FBC">
              <w:rPr>
                <w:rFonts w:ascii="Times New Roman" w:hAnsi="Times New Roman" w:cs="Times New Roman"/>
                <w:sz w:val="20"/>
                <w:szCs w:val="20"/>
              </w:rPr>
              <w:t>Внедрение процедуры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профессиональными рисками (по</w:t>
            </w:r>
            <w:r w:rsidRPr="00CA0FBC">
              <w:rPr>
                <w:rFonts w:ascii="Times New Roman" w:hAnsi="Times New Roman" w:cs="Times New Roman"/>
                <w:sz w:val="20"/>
                <w:szCs w:val="20"/>
              </w:rPr>
              <w:t>рядка реализации мероприятий по управлению профессиональными рисками)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условий и охраны труда на рабочих местах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 проведение поведенческого аудита безопасности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расследования и учета микротравм, полученных работниками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деятельности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работниками требований охраны труда.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820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533" w:type="dxa"/>
          </w:tcPr>
          <w:p w:rsidR="00066D70" w:rsidRPr="00920EA4" w:rsidRDefault="00066D7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порядка выявления потенциально возможных аварий, порядка действий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843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70" w:rsidRPr="00431768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9876D3" w:rsidTr="0010545B">
        <w:tc>
          <w:tcPr>
            <w:tcW w:w="16144" w:type="dxa"/>
            <w:gridSpan w:val="14"/>
          </w:tcPr>
          <w:p w:rsidR="00066D70" w:rsidRDefault="00066D7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A0FBC">
              <w:rPr>
                <w:rFonts w:ascii="Times New Roman" w:hAnsi="Times New Roman" w:cs="Times New Roman"/>
                <w:sz w:val="20"/>
                <w:szCs w:val="20"/>
              </w:rPr>
              <w:t>Определять цели – разрабатывать программы</w:t>
            </w: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C5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системы управления охраной труда в </w:t>
            </w:r>
            <w:proofErr w:type="gramStart"/>
            <w:r w:rsidRPr="00997C5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997C57">
              <w:rPr>
                <w:rFonts w:ascii="Times New Roman" w:hAnsi="Times New Roman" w:cs="Times New Roman"/>
                <w:sz w:val="20"/>
                <w:szCs w:val="20"/>
              </w:rPr>
              <w:t xml:space="preserve">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7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C57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комплекта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актов, со</w:t>
            </w:r>
            <w:r w:rsidRPr="00997C57">
              <w:rPr>
                <w:rFonts w:ascii="Times New Roman" w:hAnsi="Times New Roman" w:cs="Times New Roman"/>
                <w:sz w:val="20"/>
                <w:szCs w:val="20"/>
              </w:rPr>
              <w:t xml:space="preserve">держащих требования охраны труда в </w:t>
            </w:r>
            <w:proofErr w:type="gramStart"/>
            <w:r w:rsidRPr="00997C5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997C57">
              <w:rPr>
                <w:rFonts w:ascii="Times New Roman" w:hAnsi="Times New Roman" w:cs="Times New Roman"/>
                <w:sz w:val="20"/>
                <w:szCs w:val="20"/>
              </w:rPr>
              <w:t xml:space="preserve"> со специфик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</w:t>
            </w:r>
            <w:r w:rsidRPr="00997C57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7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2">
              <w:rPr>
                <w:rFonts w:ascii="Times New Roman" w:hAnsi="Times New Roman" w:cs="Times New Roman"/>
                <w:sz w:val="20"/>
                <w:szCs w:val="20"/>
              </w:rPr>
              <w:t>Анализ и актуализаци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действую</w:t>
            </w:r>
            <w:r w:rsidRPr="008B0A42">
              <w:rPr>
                <w:rFonts w:ascii="Times New Roman" w:hAnsi="Times New Roman" w:cs="Times New Roman"/>
                <w:sz w:val="20"/>
                <w:szCs w:val="20"/>
              </w:rPr>
              <w:t xml:space="preserve">щих локальных нормативных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охране труда (должностных инструкций (должностных регламен</w:t>
            </w:r>
            <w:r w:rsidRPr="008B0A42">
              <w:rPr>
                <w:rFonts w:ascii="Times New Roman" w:hAnsi="Times New Roman" w:cs="Times New Roman"/>
                <w:sz w:val="20"/>
                <w:szCs w:val="20"/>
              </w:rPr>
              <w:t>тов), положений о подразделениях в целях распределения функций и обязанностей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 уполномоченных (доверенных) лиц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77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5B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7977" w:rsidRDefault="0010545B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77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Default="0010545B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мероприя</w:t>
            </w:r>
            <w:r w:rsidRPr="00A94C7A">
              <w:rPr>
                <w:rFonts w:ascii="Times New Roman" w:hAnsi="Times New Roman" w:cs="Times New Roman"/>
                <w:sz w:val="20"/>
                <w:szCs w:val="20"/>
              </w:rPr>
              <w:t xml:space="preserve">тий по приведению уровней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Pr="00A94C7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вредных и (или) опасных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производственных факторов на ра</w:t>
            </w:r>
            <w:r w:rsidRPr="00A94C7A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местах в соответствие с государственными нормативными тре</w:t>
            </w:r>
            <w:r w:rsidRPr="00A94C7A">
              <w:rPr>
                <w:rFonts w:ascii="Times New Roman" w:hAnsi="Times New Roman" w:cs="Times New Roman"/>
                <w:sz w:val="20"/>
                <w:szCs w:val="20"/>
              </w:rPr>
              <w:t>бованиями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D4E6F" w:rsidRDefault="0010545B" w:rsidP="008D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8D4E6F" w:rsidRDefault="008D4E6F" w:rsidP="008D4E6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55879">
              <w:rPr>
                <w:rFonts w:ascii="Times New Roman" w:hAnsi="Times New Roman"/>
                <w:sz w:val="20"/>
                <w:szCs w:val="20"/>
              </w:rPr>
              <w:t xml:space="preserve"> Создать систему безопасности и гигиены труда – достичь высокого уровня организации</w:t>
            </w: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37">
              <w:rPr>
                <w:rFonts w:ascii="Times New Roman" w:hAnsi="Times New Roman"/>
                <w:sz w:val="20"/>
                <w:szCs w:val="20"/>
              </w:rPr>
              <w:t xml:space="preserve">Информирование работников об </w:t>
            </w:r>
            <w:r>
              <w:rPr>
                <w:rFonts w:ascii="Times New Roman" w:hAnsi="Times New Roman"/>
                <w:sz w:val="20"/>
                <w:szCs w:val="20"/>
              </w:rPr>
              <w:t>условиях труда на их рабочих ме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стах, уровнях профессиональных рисков, а также о предоставляемых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 гарантиях, полагающихся ком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пенсациях посредством размещения актуа</w:t>
            </w:r>
            <w:r>
              <w:rPr>
                <w:rFonts w:ascii="Times New Roman" w:hAnsi="Times New Roman"/>
                <w:sz w:val="20"/>
                <w:szCs w:val="20"/>
              </w:rPr>
              <w:t>льной информации в общедо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ступных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оптимальных режи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ов труда и отдыха работников пу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 xml:space="preserve">тем внедрения мероприятий по предотвращению возможности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работников, их за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болеваемости из-за переутомления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воздействия психофизиологиче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ских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37">
              <w:rPr>
                <w:rFonts w:ascii="Times New Roman" w:hAnsi="Times New Roman"/>
                <w:sz w:val="20"/>
                <w:szCs w:val="20"/>
              </w:rPr>
              <w:t>Установление перечня профессий (должностей) работников, работа в которых дает право на бесплатное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получение молока, других равно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ценных пищевых продуктов 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лечебно-профилактического пита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ния, порядка предоставления таких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437">
              <w:rPr>
                <w:rFonts w:ascii="Times New Roman" w:hAnsi="Times New Roman" w:cs="Times New Roman"/>
                <w:sz w:val="20"/>
                <w:szCs w:val="20"/>
              </w:rPr>
              <w:t>Осуществление обязательных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положений нормативных пра</w:t>
            </w:r>
            <w:r w:rsidRPr="002E1437">
              <w:rPr>
                <w:rFonts w:ascii="Times New Roman" w:hAnsi="Times New Roman" w:cs="Times New Roman"/>
                <w:sz w:val="20"/>
                <w:szCs w:val="20"/>
              </w:rPr>
              <w:t>вовых актов), и на добровольной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основе (в том числе по предложе</w:t>
            </w:r>
            <w:r w:rsidRPr="002E1437">
              <w:rPr>
                <w:rFonts w:ascii="Times New Roman" w:hAnsi="Times New Roman" w:cs="Times New Roman"/>
                <w:sz w:val="20"/>
                <w:szCs w:val="20"/>
              </w:rPr>
              <w:t>ниям работников, уполномоченных ими представительных органов, комитета (комиссии) по охране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руда) медицинских осмотров, пси</w:t>
            </w:r>
            <w:r w:rsidRPr="002E1437">
              <w:rPr>
                <w:rFonts w:ascii="Times New Roman" w:hAnsi="Times New Roman" w:cs="Times New Roman"/>
                <w:sz w:val="20"/>
                <w:szCs w:val="20"/>
              </w:rPr>
              <w:t>хиатрических освидетельствований,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химико-токсикологических иссле</w:t>
            </w:r>
            <w:r w:rsidRPr="002E1437">
              <w:rPr>
                <w:rFonts w:ascii="Times New Roman" w:hAnsi="Times New Roman" w:cs="Times New Roman"/>
                <w:sz w:val="20"/>
                <w:szCs w:val="20"/>
              </w:rPr>
              <w:t>дований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37">
              <w:rPr>
                <w:rFonts w:ascii="Times New Roman" w:hAnsi="Times New Roman"/>
                <w:sz w:val="20"/>
                <w:szCs w:val="20"/>
              </w:rPr>
              <w:t xml:space="preserve">Направление списка контингента, разработанного и утвержденного работодателем, в территориальный </w:t>
            </w:r>
            <w:r>
              <w:rPr>
                <w:rFonts w:ascii="Times New Roman" w:hAnsi="Times New Roman"/>
                <w:sz w:val="20"/>
                <w:szCs w:val="20"/>
              </w:rPr>
              <w:t>орган федерального органа исполнительной власти, уполномоченно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437">
              <w:rPr>
                <w:rFonts w:ascii="Times New Roman" w:hAnsi="Times New Roman"/>
                <w:sz w:val="20"/>
                <w:szCs w:val="20"/>
              </w:rPr>
              <w:t>Направление работников,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принятия соответствующего реше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ния врачебной комиссией, не реже о</w:t>
            </w:r>
            <w:r>
              <w:rPr>
                <w:rFonts w:ascii="Times New Roman" w:hAnsi="Times New Roman"/>
                <w:sz w:val="20"/>
                <w:szCs w:val="20"/>
              </w:rPr>
              <w:t>дного раза в пять лет на прохож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 xml:space="preserve">дение периодического осмотра в центрах </w:t>
            </w:r>
            <w:proofErr w:type="spellStart"/>
            <w:r w:rsidRPr="002E1437"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 w:rsidRPr="002E1437">
              <w:rPr>
                <w:rFonts w:ascii="Times New Roman" w:hAnsi="Times New Roman"/>
                <w:sz w:val="20"/>
                <w:szCs w:val="20"/>
              </w:rPr>
              <w:t xml:space="preserve"> и других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медицинских организациях, имеющих право на проведение предварительных и периодических осмот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ров, на проведение экспертизы профессиональной пригодности и экспертизы связи заболевания с профессией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37">
              <w:rPr>
                <w:rFonts w:ascii="Times New Roman" w:hAnsi="Times New Roman"/>
                <w:sz w:val="20"/>
                <w:szCs w:val="20"/>
              </w:rPr>
              <w:t>Устройство новых и (и</w:t>
            </w:r>
            <w:r>
              <w:rPr>
                <w:rFonts w:ascii="Times New Roman" w:hAnsi="Times New Roman"/>
                <w:sz w:val="20"/>
                <w:szCs w:val="20"/>
              </w:rPr>
              <w:t>ли) реконструкция имеющихся мест органи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зованного отдыха, помещений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комнат релаксации, психологиче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ской разгрузки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37">
              <w:rPr>
                <w:rFonts w:ascii="Times New Roman" w:hAnsi="Times New Roman"/>
                <w:sz w:val="20"/>
                <w:szCs w:val="20"/>
              </w:rPr>
              <w:t>Приобретение и монтаж установок (а</w:t>
            </w:r>
            <w:r>
              <w:rPr>
                <w:rFonts w:ascii="Times New Roman" w:hAnsi="Times New Roman"/>
                <w:sz w:val="20"/>
                <w:szCs w:val="20"/>
              </w:rPr>
              <w:t>втоматов) для обеспечения работ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>ников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2E1437" w:rsidRDefault="0010545B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помещения для ока</w:t>
            </w:r>
            <w:r w:rsidRPr="002E1437">
              <w:rPr>
                <w:rFonts w:ascii="Times New Roman" w:hAnsi="Times New Roman"/>
                <w:sz w:val="20"/>
                <w:szCs w:val="20"/>
              </w:rPr>
              <w:t xml:space="preserve">зания </w:t>
            </w:r>
            <w:proofErr w:type="gramStart"/>
            <w:r w:rsidRPr="002E1437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proofErr w:type="gramEnd"/>
            <w:r w:rsidRPr="002E1437">
              <w:rPr>
                <w:rFonts w:ascii="Times New Roman" w:hAnsi="Times New Roman"/>
                <w:sz w:val="20"/>
                <w:szCs w:val="20"/>
              </w:rPr>
              <w:t xml:space="preserve"> помощи и (или) создание санитарных постов с ап-течками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A3329">
              <w:rPr>
                <w:rFonts w:ascii="Times New Roman" w:hAnsi="Times New Roman"/>
                <w:sz w:val="20"/>
                <w:szCs w:val="20"/>
              </w:rPr>
              <w:t>Обеспечивать безопасность и гигиену на рабочих местах, при работе со станками и оборудованием</w:t>
            </w: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разработанных по результатам проведения специальной оценки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90C">
              <w:rPr>
                <w:rFonts w:ascii="Times New Roman" w:hAnsi="Times New Roman"/>
                <w:sz w:val="20"/>
                <w:szCs w:val="20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Обеспечение работников специаль</w:t>
            </w:r>
            <w:r w:rsidRPr="0070290C">
              <w:rPr>
                <w:rFonts w:ascii="Times New Roman" w:hAnsi="Times New Roman"/>
                <w:sz w:val="20"/>
                <w:szCs w:val="20"/>
              </w:rPr>
              <w:t>ной одеждой, специальной обувью и другим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Pr="0070290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льной защиты (далее – СИЗ), име</w:t>
            </w:r>
            <w:r w:rsidRPr="0070290C">
              <w:rPr>
                <w:rFonts w:ascii="Times New Roman" w:hAnsi="Times New Roman"/>
                <w:sz w:val="20"/>
                <w:szCs w:val="20"/>
              </w:rPr>
              <w:t xml:space="preserve">ющих сертификат или декларацию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соответствия, осуществление контроля за обязательным применени</w:t>
            </w:r>
            <w:r w:rsidRPr="0070290C">
              <w:rPr>
                <w:rFonts w:ascii="Times New Roman" w:hAnsi="Times New Roman"/>
                <w:sz w:val="20"/>
                <w:szCs w:val="20"/>
              </w:rPr>
              <w:t>ем работниками СИЗ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F06EC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90C">
              <w:rPr>
                <w:rFonts w:ascii="Times New Roman" w:hAnsi="Times New Roman"/>
                <w:sz w:val="20"/>
                <w:szCs w:val="20"/>
              </w:rPr>
              <w:t xml:space="preserve">Проведение проверок исправности </w:t>
            </w:r>
            <w:proofErr w:type="gramStart"/>
            <w:r w:rsidRPr="0070290C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70290C">
              <w:rPr>
                <w:rFonts w:ascii="Times New Roman" w:hAnsi="Times New Roman"/>
                <w:sz w:val="20"/>
                <w:szCs w:val="20"/>
              </w:rPr>
              <w:t>, замена частей СИЗ при снижении защитных свойств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0C5">
              <w:rPr>
                <w:rFonts w:ascii="Times New Roman" w:hAnsi="Times New Roman"/>
                <w:sz w:val="20"/>
                <w:szCs w:val="20"/>
              </w:rPr>
              <w:t>Приобретение и монтаж средс</w:t>
            </w:r>
            <w:r>
              <w:rPr>
                <w:rFonts w:ascii="Times New Roman" w:hAnsi="Times New Roman"/>
                <w:sz w:val="20"/>
                <w:szCs w:val="20"/>
              </w:rPr>
              <w:t>тв сигнализации о нарушении нормального функционирования про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 xml:space="preserve">изводственного оборудования, средств аварийной остановки, а </w:t>
            </w:r>
            <w:r>
              <w:rPr>
                <w:rFonts w:ascii="Times New Roman" w:hAnsi="Times New Roman"/>
                <w:sz w:val="20"/>
                <w:szCs w:val="20"/>
              </w:rPr>
              <w:t>также устройств, позволяющих ис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>ключить возникновение опасных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ситуаций при полном или частич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>ном прекращении энергоснабжения и последующем его восстановлении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0C5">
              <w:rPr>
                <w:rFonts w:ascii="Times New Roman" w:hAnsi="Times New Roman"/>
                <w:sz w:val="20"/>
                <w:szCs w:val="20"/>
              </w:rPr>
              <w:t xml:space="preserve">Внедрение систем автоматического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 уровней опасных и вред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 xml:space="preserve">ных производственных факторов на рабочих местах, технических устройств, обеспечивающих защиту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от поражения электри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>ческим током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0C5">
              <w:rPr>
                <w:rFonts w:ascii="Times New Roman" w:hAnsi="Times New Roman"/>
                <w:sz w:val="20"/>
                <w:szCs w:val="20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сигнальных цветов и знаков без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>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0C5">
              <w:rPr>
                <w:rFonts w:ascii="Times New Roman" w:hAnsi="Times New Roman"/>
                <w:sz w:val="20"/>
                <w:szCs w:val="20"/>
              </w:rPr>
              <w:t>Устройство новых и реконструкция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имеющихся отопительных и венти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>ляционных систем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</w:t>
            </w:r>
            <w:r w:rsidRPr="00AE50C5">
              <w:rPr>
                <w:rFonts w:ascii="Times New Roman" w:hAnsi="Times New Roman"/>
                <w:sz w:val="20"/>
                <w:szCs w:val="20"/>
              </w:rPr>
              <w:t xml:space="preserve">ственных и бытовых </w:t>
            </w:r>
            <w:proofErr w:type="gramStart"/>
            <w:r w:rsidRPr="00AE50C5">
              <w:rPr>
                <w:rFonts w:ascii="Times New Roman" w:hAnsi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и автоматизация тех</w:t>
            </w:r>
            <w:r w:rsidRPr="00352B7E">
              <w:rPr>
                <w:rFonts w:ascii="Times New Roman" w:hAnsi="Times New Roman" w:cs="Times New Roman"/>
                <w:sz w:val="20"/>
                <w:szCs w:val="20"/>
              </w:rPr>
              <w:t>нологических операций (процессов)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B7E">
              <w:rPr>
                <w:rFonts w:ascii="Times New Roman" w:hAnsi="Times New Roman" w:cs="Times New Roman"/>
                <w:sz w:val="20"/>
                <w:szCs w:val="20"/>
              </w:rPr>
              <w:t>с учетом специфики деятельности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92C">
              <w:rPr>
                <w:rFonts w:ascii="Times New Roman" w:hAnsi="Times New Roman"/>
                <w:sz w:val="20"/>
                <w:szCs w:val="20"/>
              </w:rPr>
              <w:t xml:space="preserve">Приведение уровней естественного и искусственного освещения на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местах, в бытовых помеще</w:t>
            </w:r>
            <w:r w:rsidRPr="00AA792C">
              <w:rPr>
                <w:rFonts w:ascii="Times New Roman" w:hAnsi="Times New Roman"/>
                <w:sz w:val="20"/>
                <w:szCs w:val="20"/>
              </w:rPr>
              <w:t xml:space="preserve">ниях, местах прохода работников в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соответствие с действующими нор</w:t>
            </w:r>
            <w:r w:rsidRPr="00AA792C">
              <w:rPr>
                <w:rFonts w:ascii="Times New Roman" w:hAnsi="Times New Roman"/>
                <w:sz w:val="20"/>
                <w:szCs w:val="20"/>
              </w:rPr>
              <w:t>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92C"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 зданий, </w:t>
            </w:r>
            <w:r>
              <w:rPr>
                <w:rFonts w:ascii="Times New Roman" w:hAnsi="Times New Roman"/>
                <w:sz w:val="20"/>
                <w:szCs w:val="20"/>
              </w:rPr>
              <w:t>помещений, территории в соответ</w:t>
            </w:r>
            <w:r w:rsidRPr="00AA792C">
              <w:rPr>
                <w:rFonts w:ascii="Times New Roman" w:hAnsi="Times New Roman"/>
                <w:sz w:val="20"/>
                <w:szCs w:val="20"/>
              </w:rPr>
              <w:t xml:space="preserve">ствии с требованиями </w:t>
            </w:r>
            <w:r w:rsidRPr="00AA792C">
              <w:rPr>
                <w:rFonts w:ascii="Times New Roman" w:hAnsi="Times New Roman"/>
                <w:sz w:val="20"/>
                <w:szCs w:val="20"/>
              </w:rPr>
              <w:lastRenderedPageBreak/>
              <w:t>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государственной экспертизы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260">
              <w:rPr>
                <w:rFonts w:ascii="Times New Roman" w:hAnsi="Times New Roman"/>
                <w:sz w:val="20"/>
                <w:szCs w:val="20"/>
              </w:rPr>
              <w:t xml:space="preserve">Принятие мер по устранению </w:t>
            </w:r>
            <w:r>
              <w:rPr>
                <w:rFonts w:ascii="Times New Roman" w:hAnsi="Times New Roman"/>
                <w:sz w:val="20"/>
                <w:szCs w:val="20"/>
              </w:rPr>
              <w:t>нарушений выявленных в ходе про</w:t>
            </w:r>
            <w:r w:rsidRPr="0068326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едения государственной эксперти</w:t>
            </w:r>
            <w:r w:rsidRPr="00683260">
              <w:rPr>
                <w:rFonts w:ascii="Times New Roman" w:hAnsi="Times New Roman"/>
                <w:sz w:val="20"/>
                <w:szCs w:val="20"/>
              </w:rPr>
              <w:t>зы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средств Фонда со</w:t>
            </w:r>
            <w:r w:rsidRPr="00683260">
              <w:rPr>
                <w:rFonts w:ascii="Times New Roman" w:hAnsi="Times New Roman"/>
                <w:sz w:val="20"/>
                <w:szCs w:val="20"/>
              </w:rPr>
              <w:t>циального страхования Российской Федерации на 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предупредительных мер по снижению производственного травматизма и профессиональных заболева</w:t>
            </w:r>
            <w:r w:rsidRPr="00683260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CD37CE">
              <w:rPr>
                <w:rFonts w:ascii="Times New Roman" w:hAnsi="Times New Roman"/>
                <w:sz w:val="20"/>
                <w:szCs w:val="20"/>
              </w:rPr>
              <w:t>Повышать квалификацию – развивать профессиональные навыки</w:t>
            </w: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инструктажей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первичного инструктажа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целевого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3CD">
              <w:rPr>
                <w:rFonts w:ascii="Times New Roman" w:hAnsi="Times New Roman"/>
                <w:sz w:val="20"/>
                <w:szCs w:val="20"/>
              </w:rPr>
              <w:t>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ия обучения руководите</w:t>
            </w:r>
            <w:r w:rsidRPr="00A373CD">
              <w:rPr>
                <w:rFonts w:ascii="Times New Roman" w:hAnsi="Times New Roman"/>
                <w:sz w:val="20"/>
                <w:szCs w:val="20"/>
              </w:rPr>
              <w:t>ля организации, 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структурных подразделений, спе</w:t>
            </w:r>
            <w:r w:rsidRPr="00A373CD">
              <w:rPr>
                <w:rFonts w:ascii="Times New Roman" w:hAnsi="Times New Roman"/>
                <w:sz w:val="20"/>
                <w:szCs w:val="20"/>
              </w:rPr>
              <w:t>циа</w:t>
            </w:r>
            <w:r>
              <w:rPr>
                <w:rFonts w:ascii="Times New Roman" w:hAnsi="Times New Roman"/>
                <w:sz w:val="20"/>
                <w:szCs w:val="20"/>
              </w:rPr>
              <w:t>листов по охране труда, лиц, ответственных за организацию работы по охране труда, уполномочен</w:t>
            </w:r>
            <w:r w:rsidRPr="00A373CD">
              <w:rPr>
                <w:rFonts w:ascii="Times New Roman" w:hAnsi="Times New Roman"/>
                <w:sz w:val="20"/>
                <w:szCs w:val="20"/>
              </w:rPr>
              <w:t>ных (доверенных) лиц по охране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труда, членов комитетов (комис</w:t>
            </w:r>
            <w:r w:rsidRPr="00A373CD">
              <w:rPr>
                <w:rFonts w:ascii="Times New Roman" w:hAnsi="Times New Roman"/>
                <w:sz w:val="20"/>
                <w:szCs w:val="20"/>
              </w:rPr>
              <w:t>сий) по охране труда за счет средств работодателя.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4A7F26" w:rsidRDefault="008D4E6F" w:rsidP="0010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6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работников рабочих профессий требованиям охраны труда, оказанию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2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рганизация обучения электротехнического персонала на соответствующую группу по электробез</w:t>
            </w:r>
            <w:r w:rsidRPr="004A7F26">
              <w:rPr>
                <w:rFonts w:ascii="Times New Roman" w:hAnsi="Times New Roman"/>
                <w:sz w:val="20"/>
                <w:szCs w:val="20"/>
              </w:rPr>
              <w:t>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09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работы </w:t>
            </w:r>
            <w:r>
              <w:rPr>
                <w:rFonts w:ascii="Times New Roman" w:hAnsi="Times New Roman"/>
                <w:sz w:val="20"/>
                <w:szCs w:val="20"/>
              </w:rPr>
              <w:t>комиссии по проверке знаний тре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>бований охраны труда в составе не менее трех человек, прошедших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обучение по охране труда и про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>верку знаний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09">
              <w:rPr>
                <w:rFonts w:ascii="Times New Roman" w:hAnsi="Times New Roman"/>
                <w:sz w:val="20"/>
                <w:szCs w:val="20"/>
              </w:rPr>
              <w:t xml:space="preserve">Повышение уровня компетенции молодых специалистов в сфере </w:t>
            </w:r>
            <w:r>
              <w:rPr>
                <w:rFonts w:ascii="Times New Roman" w:hAnsi="Times New Roman"/>
                <w:sz w:val="20"/>
                <w:szCs w:val="20"/>
              </w:rPr>
              <w:t>охраны труда посредством организации соответствующих информа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>ционных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09">
              <w:rPr>
                <w:rFonts w:ascii="Times New Roman" w:hAnsi="Times New Roman"/>
                <w:sz w:val="20"/>
                <w:szCs w:val="20"/>
              </w:rPr>
              <w:t>Включение вопроса «ВИЧ/СПИД на рабочих местах» в программы проведения инструктажей по ох</w:t>
            </w:r>
            <w:r>
              <w:rPr>
                <w:rFonts w:ascii="Times New Roman" w:hAnsi="Times New Roman"/>
                <w:sz w:val="20"/>
                <w:szCs w:val="20"/>
              </w:rPr>
              <w:t>ране труда, в планы обучения по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>вышения квалификации с</w:t>
            </w:r>
            <w:r>
              <w:rPr>
                <w:rFonts w:ascii="Times New Roman" w:hAnsi="Times New Roman"/>
                <w:sz w:val="20"/>
                <w:szCs w:val="20"/>
              </w:rPr>
              <w:t>пециалис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 xml:space="preserve">тов по охране труда,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>отделов кадров и медицинских работников, работающих в организа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8D4E6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694C09">
              <w:rPr>
                <w:rFonts w:ascii="Times New Roman" w:hAnsi="Times New Roman"/>
                <w:sz w:val="20"/>
                <w:szCs w:val="20"/>
              </w:rPr>
              <w:t>Инвестировать в кадры – мотивировать посредством участия</w:t>
            </w: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Компенсация работникам оплаты занятий спортом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клубах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Приобретение, содержание и обновление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смотров, конкурсов на лучшую организацию работы по охране труда среди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дней (месячника)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федеральных и региональных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6F" w:rsidRPr="00E57977" w:rsidTr="001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различных информационно – методических площадок: уголков охраны труда, методических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E57977" w:rsidRDefault="008D4E6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E18" w:rsidRDefault="00AC4E18" w:rsidP="008D4E6F">
      <w:pPr>
        <w:jc w:val="both"/>
      </w:pPr>
    </w:p>
    <w:p w:rsidR="00036C7B" w:rsidRDefault="00036C7B" w:rsidP="00036C7B">
      <w:pPr>
        <w:jc w:val="both"/>
      </w:pPr>
    </w:p>
    <w:sectPr w:rsidR="00036C7B" w:rsidSect="00036C7B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4E18"/>
    <w:rsid w:val="00010D5B"/>
    <w:rsid w:val="00030BDA"/>
    <w:rsid w:val="00036C7B"/>
    <w:rsid w:val="00066D70"/>
    <w:rsid w:val="0010545B"/>
    <w:rsid w:val="001D3CA2"/>
    <w:rsid w:val="0036387D"/>
    <w:rsid w:val="003A5D01"/>
    <w:rsid w:val="004073B7"/>
    <w:rsid w:val="00461C4E"/>
    <w:rsid w:val="00465BD9"/>
    <w:rsid w:val="00516DC9"/>
    <w:rsid w:val="00596EA9"/>
    <w:rsid w:val="00663B54"/>
    <w:rsid w:val="00674526"/>
    <w:rsid w:val="007545EC"/>
    <w:rsid w:val="007A4455"/>
    <w:rsid w:val="00881473"/>
    <w:rsid w:val="008D4E6F"/>
    <w:rsid w:val="008D5543"/>
    <w:rsid w:val="008F06EC"/>
    <w:rsid w:val="00915CB8"/>
    <w:rsid w:val="00967778"/>
    <w:rsid w:val="00976944"/>
    <w:rsid w:val="00A57405"/>
    <w:rsid w:val="00AB1BA8"/>
    <w:rsid w:val="00AC4E18"/>
    <w:rsid w:val="00B17E1D"/>
    <w:rsid w:val="00B92258"/>
    <w:rsid w:val="00B97F62"/>
    <w:rsid w:val="00BA6331"/>
    <w:rsid w:val="00BC5AE6"/>
    <w:rsid w:val="00DE1245"/>
    <w:rsid w:val="00E24307"/>
    <w:rsid w:val="00E4577D"/>
    <w:rsid w:val="00E51FAD"/>
    <w:rsid w:val="00EA2B6F"/>
    <w:rsid w:val="00F44BE2"/>
    <w:rsid w:val="00F4791D"/>
    <w:rsid w:val="00F63541"/>
    <w:rsid w:val="00F6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E1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B1B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B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C7B"/>
    <w:pPr>
      <w:ind w:left="720"/>
      <w:contextualSpacing/>
    </w:pPr>
    <w:rPr>
      <w:rFonts w:eastAsia="Calibri" w:cs="Times New Roman"/>
      <w:lang w:eastAsia="en-US"/>
    </w:rPr>
  </w:style>
  <w:style w:type="table" w:styleId="a7">
    <w:name w:val="Table Grid"/>
    <w:basedOn w:val="a1"/>
    <w:uiPriority w:val="59"/>
    <w:rsid w:val="00036C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УТЗН Тамбовской области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Кузнецова Н.В.</dc:creator>
  <cp:lastModifiedBy>Менщикова</cp:lastModifiedBy>
  <cp:revision>3</cp:revision>
  <cp:lastPrinted>2019-04-08T06:25:00Z</cp:lastPrinted>
  <dcterms:created xsi:type="dcterms:W3CDTF">2019-06-18T03:59:00Z</dcterms:created>
  <dcterms:modified xsi:type="dcterms:W3CDTF">2019-06-18T04:07:00Z</dcterms:modified>
</cp:coreProperties>
</file>