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AE" w:rsidRPr="00916AAE" w:rsidRDefault="00E81C34" w:rsidP="00916AA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80" w:after="120"/>
        <w:jc w:val="both"/>
        <w:rPr>
          <w:sz w:val="28"/>
          <w:szCs w:val="28"/>
          <w:highlight w:val="yellow"/>
        </w:rPr>
      </w:pPr>
      <w:r w:rsidRPr="00916AAE">
        <w:rPr>
          <w:sz w:val="28"/>
          <w:szCs w:val="28"/>
          <w:highlight w:val="yellow"/>
        </w:rPr>
        <w:t xml:space="preserve">В градостроительных </w:t>
      </w:r>
      <w:proofErr w:type="gramStart"/>
      <w:r w:rsidRPr="00916AAE">
        <w:rPr>
          <w:sz w:val="28"/>
          <w:szCs w:val="28"/>
          <w:highlight w:val="yellow"/>
        </w:rPr>
        <w:t>регламентах</w:t>
      </w:r>
      <w:proofErr w:type="gramEnd"/>
      <w:r w:rsidRPr="00916AAE">
        <w:rPr>
          <w:sz w:val="28"/>
          <w:szCs w:val="28"/>
          <w:highlight w:val="yellow"/>
        </w:rPr>
        <w:t xml:space="preserve"> </w:t>
      </w:r>
      <w:r w:rsidR="00916AAE" w:rsidRPr="00916AAE">
        <w:rPr>
          <w:sz w:val="28"/>
          <w:szCs w:val="28"/>
          <w:highlight w:val="yellow"/>
        </w:rPr>
        <w:t>–</w:t>
      </w:r>
      <w:r w:rsidRPr="00916AAE">
        <w:rPr>
          <w:sz w:val="28"/>
          <w:szCs w:val="28"/>
          <w:highlight w:val="yellow"/>
        </w:rPr>
        <w:t xml:space="preserve"> </w:t>
      </w:r>
    </w:p>
    <w:p w:rsidR="00916AAE" w:rsidRPr="00916AAE" w:rsidRDefault="00916AAE" w:rsidP="00916AA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80" w:after="120"/>
        <w:ind w:left="0" w:firstLine="0"/>
        <w:jc w:val="both"/>
      </w:pPr>
      <w:r w:rsidRPr="00916AAE">
        <w:t>Перечни основных видов разрешенного использования для производственных территориальных зон П</w:t>
      </w:r>
      <w:proofErr w:type="gramStart"/>
      <w:r w:rsidRPr="00916AAE">
        <w:t>1</w:t>
      </w:r>
      <w:proofErr w:type="gramEnd"/>
      <w:r w:rsidRPr="00916AAE">
        <w:t xml:space="preserve"> (статья 16), П2 (статья 17), П3 (статья 18), для зон</w:t>
      </w:r>
      <w:r>
        <w:t xml:space="preserve"> Т2 «</w:t>
      </w:r>
      <w:r w:rsidRPr="00916AAE">
        <w:t>Зона транспортной инфраструктуры</w:t>
      </w:r>
      <w:r>
        <w:t>»</w:t>
      </w:r>
      <w:r w:rsidRPr="00916AAE">
        <w:t xml:space="preserve"> (статья 2</w:t>
      </w:r>
      <w:r>
        <w:t>1</w:t>
      </w:r>
      <w:r w:rsidRPr="00916AAE">
        <w:t>)</w:t>
      </w:r>
      <w:r>
        <w:t>,</w:t>
      </w:r>
      <w:r w:rsidRPr="00916AAE">
        <w:t xml:space="preserve"> Т3 «Зона перспективного развития инженерной и транспортной инфраструктуры» (статья 22), зоны СП3 «Зона объектов </w:t>
      </w:r>
      <w:proofErr w:type="spellStart"/>
      <w:r w:rsidRPr="00916AAE">
        <w:t>недропользования</w:t>
      </w:r>
      <w:proofErr w:type="spellEnd"/>
      <w:r w:rsidRPr="00916AAE">
        <w:t>» (статья 33) дополнить видом 7.5 «Трубопроводный транспорт».</w:t>
      </w:r>
    </w:p>
    <w:p w:rsidR="00916AAE" w:rsidRPr="00916AAE" w:rsidRDefault="00916AAE" w:rsidP="00916AA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AE">
        <w:rPr>
          <w:rFonts w:ascii="Times New Roman" w:hAnsi="Times New Roman" w:cs="Times New Roman"/>
          <w:sz w:val="24"/>
          <w:szCs w:val="24"/>
        </w:rPr>
        <w:t>Вид разрешенного использования (ВРИ) 7.5 «Трубопроводный транспорт», предусматривающий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 в новой редакции Правил не установлен ни для одной территориальной зоны.</w:t>
      </w:r>
    </w:p>
    <w:p w:rsidR="00916AAE" w:rsidRPr="00916AAE" w:rsidRDefault="00916AAE" w:rsidP="00916AA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AE">
        <w:rPr>
          <w:rFonts w:ascii="Times New Roman" w:hAnsi="Times New Roman" w:cs="Times New Roman"/>
          <w:sz w:val="24"/>
          <w:szCs w:val="24"/>
        </w:rPr>
        <w:t>В производственных зонах, зон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16AAE">
        <w:rPr>
          <w:rFonts w:ascii="Times New Roman" w:hAnsi="Times New Roman" w:cs="Times New Roman"/>
          <w:sz w:val="24"/>
          <w:szCs w:val="24"/>
        </w:rPr>
        <w:t xml:space="preserve"> инженерной инфраструктуры и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транспортной инфраструктуры, </w:t>
      </w:r>
      <w:r w:rsidRPr="00916AAE">
        <w:rPr>
          <w:rFonts w:ascii="Times New Roman" w:hAnsi="Times New Roman" w:cs="Times New Roman"/>
          <w:sz w:val="24"/>
          <w:szCs w:val="24"/>
        </w:rPr>
        <w:t xml:space="preserve">зоне перспективного развития инженерной и транспортной инфраструктуры, </w:t>
      </w:r>
      <w:proofErr w:type="spellStart"/>
      <w:r w:rsidRPr="00916AAE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916AAE">
        <w:rPr>
          <w:rFonts w:ascii="Times New Roman" w:hAnsi="Times New Roman" w:cs="Times New Roman"/>
          <w:sz w:val="24"/>
          <w:szCs w:val="24"/>
        </w:rPr>
        <w:t xml:space="preserve">, ВРИ 7.5 крайне необходим для размещения объектов трубопроводного транспорта. </w:t>
      </w:r>
      <w:proofErr w:type="gramEnd"/>
    </w:p>
    <w:p w:rsidR="00916AAE" w:rsidRPr="00916AAE" w:rsidRDefault="00916AAE" w:rsidP="00916AAE">
      <w:pPr>
        <w:pStyle w:val="a3"/>
        <w:tabs>
          <w:tab w:val="left" w:pos="426"/>
        </w:tabs>
        <w:autoSpaceDE w:val="0"/>
        <w:autoSpaceDN w:val="0"/>
        <w:adjustRightInd w:val="0"/>
        <w:spacing w:before="280" w:after="120"/>
        <w:ind w:left="0"/>
        <w:jc w:val="both"/>
        <w:rPr>
          <w:b/>
        </w:rPr>
      </w:pPr>
      <w:r w:rsidRPr="00916AAE">
        <w:rPr>
          <w:b/>
        </w:rPr>
        <w:t xml:space="preserve">В </w:t>
      </w:r>
      <w:proofErr w:type="gramStart"/>
      <w:r w:rsidRPr="00916AAE">
        <w:rPr>
          <w:b/>
        </w:rPr>
        <w:t>соответствии</w:t>
      </w:r>
      <w:proofErr w:type="gramEnd"/>
      <w:r w:rsidRPr="00916AAE">
        <w:rPr>
          <w:b/>
        </w:rPr>
        <w:t xml:space="preserve"> с проектом изменений предложено:</w:t>
      </w:r>
    </w:p>
    <w:p w:rsidR="00916AAE" w:rsidRDefault="00916AAE" w:rsidP="00916AAE">
      <w:pPr>
        <w:pStyle w:val="a3"/>
        <w:tabs>
          <w:tab w:val="left" w:pos="993"/>
        </w:tabs>
        <w:ind w:left="567"/>
        <w:jc w:val="both"/>
        <w:rPr>
          <w:bCs/>
        </w:rPr>
      </w:pPr>
      <w:r w:rsidRPr="00916AAE">
        <w:rPr>
          <w:bCs/>
        </w:rPr>
        <w:t xml:space="preserve">таблицу 1 пункта 1 статьи 16, </w:t>
      </w:r>
    </w:p>
    <w:p w:rsidR="00916AAE" w:rsidRDefault="00916AAE" w:rsidP="00916AAE">
      <w:pPr>
        <w:pStyle w:val="a3"/>
        <w:tabs>
          <w:tab w:val="left" w:pos="993"/>
        </w:tabs>
        <w:ind w:left="567"/>
        <w:jc w:val="both"/>
        <w:rPr>
          <w:bCs/>
        </w:rPr>
      </w:pPr>
      <w:r w:rsidRPr="00916AAE">
        <w:rPr>
          <w:bCs/>
        </w:rPr>
        <w:t xml:space="preserve">таблицу 1 пункта 1 статьи 17, </w:t>
      </w:r>
    </w:p>
    <w:p w:rsidR="00916AAE" w:rsidRDefault="00916AAE" w:rsidP="00916AAE">
      <w:pPr>
        <w:pStyle w:val="a3"/>
        <w:tabs>
          <w:tab w:val="left" w:pos="993"/>
        </w:tabs>
        <w:ind w:left="567"/>
        <w:jc w:val="both"/>
        <w:rPr>
          <w:bCs/>
        </w:rPr>
      </w:pPr>
      <w:r w:rsidRPr="00916AAE">
        <w:rPr>
          <w:bCs/>
        </w:rPr>
        <w:t>таблицу 1 пункта 1 статьи 18</w:t>
      </w:r>
    </w:p>
    <w:p w:rsidR="00916AAE" w:rsidRDefault="00916AAE" w:rsidP="00916AAE">
      <w:pPr>
        <w:pStyle w:val="a3"/>
        <w:tabs>
          <w:tab w:val="left" w:pos="993"/>
        </w:tabs>
        <w:ind w:left="567"/>
        <w:jc w:val="both"/>
        <w:rPr>
          <w:bCs/>
        </w:rPr>
      </w:pPr>
      <w:r w:rsidRPr="00916AAE">
        <w:rPr>
          <w:bCs/>
        </w:rPr>
        <w:t xml:space="preserve">таблицу 1 пункта 1 статьи 21, </w:t>
      </w:r>
    </w:p>
    <w:p w:rsidR="00916AAE" w:rsidRDefault="00916AAE" w:rsidP="00916AAE">
      <w:pPr>
        <w:pStyle w:val="a3"/>
        <w:tabs>
          <w:tab w:val="left" w:pos="993"/>
        </w:tabs>
        <w:ind w:left="567"/>
        <w:jc w:val="both"/>
        <w:rPr>
          <w:bCs/>
        </w:rPr>
      </w:pPr>
      <w:r w:rsidRPr="00916AAE">
        <w:rPr>
          <w:bCs/>
        </w:rPr>
        <w:t>таблицу 1 пункта 1 статьи 22</w:t>
      </w:r>
    </w:p>
    <w:p w:rsidR="00916AAE" w:rsidRDefault="00916AAE" w:rsidP="00916AAE">
      <w:pPr>
        <w:pStyle w:val="a3"/>
        <w:tabs>
          <w:tab w:val="left" w:pos="993"/>
        </w:tabs>
        <w:ind w:left="567"/>
        <w:jc w:val="both"/>
        <w:rPr>
          <w:bCs/>
        </w:rPr>
      </w:pPr>
      <w:r w:rsidRPr="00916AAE">
        <w:rPr>
          <w:bCs/>
        </w:rPr>
        <w:t xml:space="preserve">таблицу 1 пункта 1 статьи 33  </w:t>
      </w:r>
    </w:p>
    <w:p w:rsidR="00916AAE" w:rsidRPr="00916AAE" w:rsidRDefault="00916AAE" w:rsidP="00916AAE">
      <w:pPr>
        <w:pStyle w:val="a3"/>
        <w:tabs>
          <w:tab w:val="left" w:pos="993"/>
        </w:tabs>
        <w:ind w:left="567"/>
        <w:jc w:val="both"/>
        <w:rPr>
          <w:bCs/>
        </w:rPr>
      </w:pPr>
      <w:r w:rsidRPr="00916AAE">
        <w:rPr>
          <w:bCs/>
        </w:rPr>
        <w:t xml:space="preserve"> дополнить строкой об основном виде разрешенного использования с кодом 7.5 «Трубопроводный транспорт» следующего содержания:</w:t>
      </w:r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869"/>
        <w:gridCol w:w="3797"/>
        <w:gridCol w:w="771"/>
        <w:gridCol w:w="4338"/>
        <w:gridCol w:w="461"/>
      </w:tblGrid>
      <w:tr w:rsidR="00916AAE" w:rsidRPr="00916AAE" w:rsidTr="00916AAE">
        <w:trPr>
          <w:trHeight w:val="194"/>
          <w:jc w:val="center"/>
        </w:trPr>
        <w:tc>
          <w:tcPr>
            <w:tcW w:w="182" w:type="pct"/>
            <w:tcBorders>
              <w:top w:val="nil"/>
              <w:left w:val="nil"/>
              <w:bottom w:val="nil"/>
            </w:tcBorders>
          </w:tcPr>
          <w:p w:rsidR="00916AAE" w:rsidRPr="00916AAE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09" w:type="pct"/>
          </w:tcPr>
          <w:p w:rsidR="00916AAE" w:rsidRPr="00C93912" w:rsidRDefault="00C93912" w:rsidP="00C9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87" w:type="pct"/>
          </w:tcPr>
          <w:p w:rsidR="00C93912" w:rsidRPr="00C93912" w:rsidRDefault="00C93912" w:rsidP="00C9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912">
              <w:rPr>
                <w:rFonts w:ascii="Times New Roman" w:hAnsi="Times New Roman" w:cs="Times New Roman"/>
              </w:rPr>
              <w:t>Основной вид</w:t>
            </w:r>
          </w:p>
          <w:p w:rsidR="00916AAE" w:rsidRPr="00C93912" w:rsidRDefault="00C93912" w:rsidP="00C9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12">
              <w:rPr>
                <w:rFonts w:ascii="Times New Roman" w:hAnsi="Times New Roman" w:cs="Times New Roman"/>
              </w:rPr>
              <w:t>разрешенного использования</w:t>
            </w:r>
          </w:p>
        </w:tc>
        <w:tc>
          <w:tcPr>
            <w:tcW w:w="363" w:type="pct"/>
          </w:tcPr>
          <w:p w:rsidR="00916AAE" w:rsidRPr="00C93912" w:rsidRDefault="00C93912" w:rsidP="00C93912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939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42" w:type="pct"/>
          </w:tcPr>
          <w:p w:rsidR="00C93912" w:rsidRPr="00C93912" w:rsidRDefault="00C93912" w:rsidP="00C93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912">
              <w:rPr>
                <w:rFonts w:ascii="Times New Roman" w:hAnsi="Times New Roman" w:cs="Times New Roman"/>
              </w:rPr>
              <w:t>Вспомогательный вид</w:t>
            </w:r>
          </w:p>
          <w:p w:rsidR="00916AAE" w:rsidRPr="00C93912" w:rsidRDefault="00C93912" w:rsidP="00C93912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93912">
              <w:rPr>
                <w:rFonts w:ascii="Times New Roman" w:hAnsi="Times New Roman" w:cs="Times New Roman"/>
              </w:rPr>
              <w:t>разрешенного использования</w:t>
            </w:r>
          </w:p>
        </w:tc>
        <w:tc>
          <w:tcPr>
            <w:tcW w:w="217" w:type="pct"/>
            <w:tcBorders>
              <w:top w:val="nil"/>
              <w:bottom w:val="nil"/>
              <w:right w:val="nil"/>
            </w:tcBorders>
          </w:tcPr>
          <w:p w:rsidR="00916AAE" w:rsidRPr="00916AAE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C93912" w:rsidRPr="00916AAE" w:rsidTr="00916AAE">
        <w:trPr>
          <w:trHeight w:val="194"/>
          <w:jc w:val="center"/>
        </w:trPr>
        <w:tc>
          <w:tcPr>
            <w:tcW w:w="182" w:type="pct"/>
            <w:tcBorders>
              <w:top w:val="nil"/>
              <w:left w:val="nil"/>
              <w:bottom w:val="nil"/>
            </w:tcBorders>
          </w:tcPr>
          <w:p w:rsidR="00C93912" w:rsidRPr="00916AAE" w:rsidRDefault="00C93912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C93912" w:rsidRPr="00916AAE" w:rsidRDefault="00C93912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787" w:type="pct"/>
          </w:tcPr>
          <w:p w:rsidR="00C93912" w:rsidRPr="00916AAE" w:rsidRDefault="00C93912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363" w:type="pct"/>
          </w:tcPr>
          <w:p w:rsidR="00C93912" w:rsidRPr="00916AAE" w:rsidRDefault="00C93912" w:rsidP="00916AAE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042" w:type="pct"/>
          </w:tcPr>
          <w:p w:rsidR="00C93912" w:rsidRPr="00916AAE" w:rsidRDefault="00C93912" w:rsidP="00916AAE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bottom w:val="nil"/>
              <w:right w:val="nil"/>
            </w:tcBorders>
          </w:tcPr>
          <w:p w:rsidR="00C93912" w:rsidRPr="00916AAE" w:rsidRDefault="00C93912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AAE" w:rsidRDefault="00916AAE" w:rsidP="00916AAE">
      <w:pPr>
        <w:pStyle w:val="a3"/>
        <w:tabs>
          <w:tab w:val="left" w:pos="426"/>
        </w:tabs>
        <w:autoSpaceDE w:val="0"/>
        <w:autoSpaceDN w:val="0"/>
        <w:adjustRightInd w:val="0"/>
        <w:spacing w:before="280" w:after="120"/>
        <w:ind w:left="0"/>
        <w:jc w:val="both"/>
        <w:rPr>
          <w:highlight w:val="yellow"/>
        </w:rPr>
      </w:pPr>
    </w:p>
    <w:p w:rsidR="00C93912" w:rsidRPr="00C93912" w:rsidRDefault="00C93912" w:rsidP="00916AAE">
      <w:pPr>
        <w:pStyle w:val="a3"/>
        <w:tabs>
          <w:tab w:val="left" w:pos="426"/>
        </w:tabs>
        <w:autoSpaceDE w:val="0"/>
        <w:autoSpaceDN w:val="0"/>
        <w:adjustRightInd w:val="0"/>
        <w:spacing w:before="280" w:after="120"/>
        <w:ind w:left="0"/>
        <w:jc w:val="both"/>
      </w:pPr>
      <w:r w:rsidRPr="00C93912">
        <w:t>Предельные параметры для вида использования 7.5 установлению не подлежат.</w:t>
      </w:r>
    </w:p>
    <w:p w:rsidR="00C93912" w:rsidRPr="00916AAE" w:rsidRDefault="00C93912" w:rsidP="00916AAE">
      <w:pPr>
        <w:pStyle w:val="a3"/>
        <w:tabs>
          <w:tab w:val="left" w:pos="426"/>
        </w:tabs>
        <w:autoSpaceDE w:val="0"/>
        <w:autoSpaceDN w:val="0"/>
        <w:adjustRightInd w:val="0"/>
        <w:spacing w:before="280" w:after="120"/>
        <w:ind w:left="0"/>
        <w:jc w:val="both"/>
        <w:rPr>
          <w:highlight w:val="yellow"/>
        </w:rPr>
      </w:pPr>
    </w:p>
    <w:p w:rsidR="00916AAE" w:rsidRPr="00916AAE" w:rsidRDefault="00916AAE" w:rsidP="00916AA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80" w:after="120"/>
        <w:ind w:left="0" w:firstLine="0"/>
        <w:jc w:val="both"/>
      </w:pPr>
      <w:r w:rsidRPr="00916AAE">
        <w:t>Перечень основных видов разрешенного использования территориальной зоны СХ</w:t>
      </w:r>
      <w:proofErr w:type="gramStart"/>
      <w:r w:rsidRPr="00916AAE">
        <w:t>4</w:t>
      </w:r>
      <w:proofErr w:type="gramEnd"/>
      <w:r w:rsidRPr="00916AAE">
        <w:t xml:space="preserve"> «Зона, занятая объектами сельскохозяйственного назначения и предназначенная для ведения растениеводства» (статья 30) дополнить видом 3.1 «Коммунальное обслуживание». </w:t>
      </w:r>
    </w:p>
    <w:p w:rsidR="00916AAE" w:rsidRPr="00916AAE" w:rsidRDefault="00916AAE" w:rsidP="00916AA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AE">
        <w:rPr>
          <w:rFonts w:ascii="Times New Roman" w:hAnsi="Times New Roman" w:cs="Times New Roman"/>
          <w:sz w:val="24"/>
          <w:szCs w:val="24"/>
        </w:rPr>
        <w:t>В соответствии с классификатором видов разрешенного использования земельных участков (Приказ министерства экономического развития РФ от 1.09.2014 г. №540) помимо вида 7.5 есть ВРИ 3.1 «Коммунальное обслуживание» - «Размещение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</w:t>
      </w:r>
      <w:proofErr w:type="gramEnd"/>
      <w:r w:rsidRPr="00916AAE">
        <w:rPr>
          <w:rFonts w:ascii="Times New Roman" w:hAnsi="Times New Roman" w:cs="Times New Roman"/>
          <w:sz w:val="24"/>
          <w:szCs w:val="24"/>
        </w:rPr>
        <w:t xml:space="preserve">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услуг)». ВРИ 3.1 установлен для всех территориальных зон кроме зоны СХ</w:t>
      </w:r>
      <w:proofErr w:type="gramStart"/>
      <w:r w:rsidRPr="00916A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16AAE">
        <w:rPr>
          <w:rFonts w:ascii="Times New Roman" w:hAnsi="Times New Roman" w:cs="Times New Roman"/>
          <w:sz w:val="24"/>
          <w:szCs w:val="24"/>
        </w:rPr>
        <w:t xml:space="preserve"> «Зона, занятая объектами сельскохозяйственного назначения и предназначенная для ведения растениеводства». Для земельных участков территориальной зоны СХ</w:t>
      </w:r>
      <w:proofErr w:type="gramStart"/>
      <w:r w:rsidRPr="00916A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16AAE">
        <w:rPr>
          <w:rFonts w:ascii="Times New Roman" w:hAnsi="Times New Roman" w:cs="Times New Roman"/>
          <w:sz w:val="24"/>
          <w:szCs w:val="24"/>
        </w:rPr>
        <w:t xml:space="preserve"> также может понадобиться  устройство водопроводов и линий электропередач.</w:t>
      </w:r>
    </w:p>
    <w:p w:rsidR="00916AAE" w:rsidRPr="00916AAE" w:rsidRDefault="00916AAE" w:rsidP="00916AAE">
      <w:pPr>
        <w:pStyle w:val="a3"/>
        <w:tabs>
          <w:tab w:val="left" w:pos="426"/>
        </w:tabs>
        <w:autoSpaceDE w:val="0"/>
        <w:autoSpaceDN w:val="0"/>
        <w:adjustRightInd w:val="0"/>
        <w:spacing w:before="280" w:after="120"/>
        <w:ind w:left="0"/>
        <w:jc w:val="both"/>
        <w:rPr>
          <w:b/>
        </w:rPr>
      </w:pPr>
      <w:r w:rsidRPr="00916AAE">
        <w:rPr>
          <w:b/>
        </w:rPr>
        <w:t xml:space="preserve">В </w:t>
      </w:r>
      <w:proofErr w:type="gramStart"/>
      <w:r w:rsidRPr="00916AAE">
        <w:rPr>
          <w:b/>
        </w:rPr>
        <w:t>соответствии</w:t>
      </w:r>
      <w:proofErr w:type="gramEnd"/>
      <w:r w:rsidRPr="00916AAE">
        <w:rPr>
          <w:b/>
        </w:rPr>
        <w:t xml:space="preserve"> с проектом изменений предложено:</w:t>
      </w:r>
    </w:p>
    <w:p w:rsidR="00916AAE" w:rsidRPr="00916AAE" w:rsidRDefault="00916AAE" w:rsidP="00916AAE">
      <w:pPr>
        <w:pStyle w:val="a3"/>
        <w:tabs>
          <w:tab w:val="left" w:pos="993"/>
        </w:tabs>
        <w:jc w:val="both"/>
        <w:rPr>
          <w:bCs/>
        </w:rPr>
      </w:pPr>
      <w:r w:rsidRPr="00916AAE">
        <w:rPr>
          <w:bCs/>
        </w:rPr>
        <w:t>Таблицу 1 пункта 1 статьи 30  дополнить строкой об основном виде разрешенного использования с кодом 7.5 «Трубопроводный транспорт» следующего содержания:</w:t>
      </w:r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869"/>
        <w:gridCol w:w="3797"/>
        <w:gridCol w:w="771"/>
        <w:gridCol w:w="4338"/>
        <w:gridCol w:w="461"/>
      </w:tblGrid>
      <w:tr w:rsidR="00916AAE" w:rsidRPr="00916AAE" w:rsidTr="00D913EA">
        <w:trPr>
          <w:trHeight w:val="409"/>
          <w:jc w:val="center"/>
        </w:trPr>
        <w:tc>
          <w:tcPr>
            <w:tcW w:w="182" w:type="pct"/>
            <w:tcBorders>
              <w:top w:val="nil"/>
              <w:left w:val="nil"/>
              <w:bottom w:val="nil"/>
            </w:tcBorders>
          </w:tcPr>
          <w:p w:rsidR="00916AAE" w:rsidRPr="00916AAE" w:rsidRDefault="00916AAE" w:rsidP="0087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09" w:type="pct"/>
          </w:tcPr>
          <w:p w:rsidR="00916AAE" w:rsidRPr="00916AAE" w:rsidRDefault="00D913EA" w:rsidP="0087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87" w:type="pct"/>
          </w:tcPr>
          <w:p w:rsidR="00D913EA" w:rsidRPr="00C93912" w:rsidRDefault="00D913EA" w:rsidP="00D9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912">
              <w:rPr>
                <w:rFonts w:ascii="Times New Roman" w:hAnsi="Times New Roman" w:cs="Times New Roman"/>
              </w:rPr>
              <w:t>Основной вид</w:t>
            </w:r>
          </w:p>
          <w:p w:rsidR="00916AAE" w:rsidRPr="00916AAE" w:rsidRDefault="00D913EA" w:rsidP="00D9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912">
              <w:rPr>
                <w:rFonts w:ascii="Times New Roman" w:hAnsi="Times New Roman" w:cs="Times New Roman"/>
              </w:rPr>
              <w:t>разрешенного использования</w:t>
            </w:r>
          </w:p>
        </w:tc>
        <w:tc>
          <w:tcPr>
            <w:tcW w:w="363" w:type="pct"/>
          </w:tcPr>
          <w:p w:rsidR="00916AAE" w:rsidRPr="00916AAE" w:rsidRDefault="00D913EA" w:rsidP="008711D3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939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42" w:type="pct"/>
          </w:tcPr>
          <w:p w:rsidR="00D913EA" w:rsidRPr="00C93912" w:rsidRDefault="00D913EA" w:rsidP="00D9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912">
              <w:rPr>
                <w:rFonts w:ascii="Times New Roman" w:hAnsi="Times New Roman" w:cs="Times New Roman"/>
              </w:rPr>
              <w:t>Вспомогательный вид</w:t>
            </w:r>
          </w:p>
          <w:p w:rsidR="00916AAE" w:rsidRPr="00916AAE" w:rsidRDefault="00D913EA" w:rsidP="00D913EA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93912">
              <w:rPr>
                <w:rFonts w:ascii="Times New Roman" w:hAnsi="Times New Roman" w:cs="Times New Roman"/>
              </w:rPr>
              <w:t>разрешенного использования</w:t>
            </w:r>
          </w:p>
        </w:tc>
        <w:tc>
          <w:tcPr>
            <w:tcW w:w="217" w:type="pct"/>
            <w:tcBorders>
              <w:top w:val="nil"/>
              <w:bottom w:val="nil"/>
              <w:right w:val="nil"/>
            </w:tcBorders>
          </w:tcPr>
          <w:p w:rsidR="00916AAE" w:rsidRPr="00916AAE" w:rsidRDefault="00916AAE" w:rsidP="008711D3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D913EA" w:rsidRPr="00916AAE" w:rsidTr="00916AAE">
        <w:trPr>
          <w:trHeight w:val="110"/>
          <w:jc w:val="center"/>
        </w:trPr>
        <w:tc>
          <w:tcPr>
            <w:tcW w:w="182" w:type="pct"/>
            <w:tcBorders>
              <w:top w:val="nil"/>
              <w:left w:val="nil"/>
              <w:bottom w:val="nil"/>
            </w:tcBorders>
          </w:tcPr>
          <w:p w:rsidR="00D913EA" w:rsidRPr="00916AAE" w:rsidRDefault="00D913EA" w:rsidP="0087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:rsidR="00D913EA" w:rsidRPr="00916AAE" w:rsidRDefault="00D913EA" w:rsidP="0087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87" w:type="pct"/>
          </w:tcPr>
          <w:p w:rsidR="00D913EA" w:rsidRPr="00916AAE" w:rsidRDefault="00D913EA" w:rsidP="0087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363" w:type="pct"/>
          </w:tcPr>
          <w:p w:rsidR="00D913EA" w:rsidRPr="00916AAE" w:rsidRDefault="00D913EA" w:rsidP="008711D3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042" w:type="pct"/>
          </w:tcPr>
          <w:p w:rsidR="00D913EA" w:rsidRPr="00916AAE" w:rsidRDefault="00D913EA" w:rsidP="008711D3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bottom w:val="nil"/>
              <w:right w:val="nil"/>
            </w:tcBorders>
          </w:tcPr>
          <w:p w:rsidR="00D913EA" w:rsidRPr="00916AAE" w:rsidRDefault="00D913EA" w:rsidP="008711D3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</w:tbl>
    <w:p w:rsidR="00916AAE" w:rsidRPr="00916AAE" w:rsidRDefault="00916AAE" w:rsidP="00916AAE">
      <w:pPr>
        <w:pStyle w:val="a3"/>
        <w:tabs>
          <w:tab w:val="left" w:pos="426"/>
        </w:tabs>
        <w:autoSpaceDE w:val="0"/>
        <w:autoSpaceDN w:val="0"/>
        <w:adjustRightInd w:val="0"/>
        <w:spacing w:before="280" w:after="120"/>
        <w:ind w:left="0"/>
        <w:jc w:val="both"/>
        <w:rPr>
          <w:highlight w:val="yellow"/>
        </w:rPr>
      </w:pPr>
    </w:p>
    <w:p w:rsidR="00E81C34" w:rsidRPr="00916AAE" w:rsidRDefault="00916AAE" w:rsidP="00E81C34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80" w:after="120"/>
        <w:ind w:left="0" w:firstLine="0"/>
        <w:jc w:val="both"/>
      </w:pPr>
      <w:r w:rsidRPr="00916AAE">
        <w:lastRenderedPageBreak/>
        <w:t>Д</w:t>
      </w:r>
      <w:r w:rsidR="00E81C34" w:rsidRPr="00916AAE">
        <w:t>ополнить перечень разрешенных видов использования земельных участков и объектов капитального строительства для территориальной зоны Т</w:t>
      </w:r>
      <w:proofErr w:type="gramStart"/>
      <w:r w:rsidR="00E81C34" w:rsidRPr="00916AAE">
        <w:t>1</w:t>
      </w:r>
      <w:proofErr w:type="gramEnd"/>
      <w:r w:rsidR="00E81C34" w:rsidRPr="00916AAE">
        <w:t xml:space="preserve"> «Зона инженерной инфраструктуры» условно разрешенным видом разрешенного использования 3.10.2 «Приюты для животных» (статья 20).</w:t>
      </w:r>
    </w:p>
    <w:p w:rsidR="00E81C34" w:rsidRPr="00916AAE" w:rsidRDefault="00E81C34" w:rsidP="00E81C34">
      <w:pPr>
        <w:pStyle w:val="a3"/>
        <w:tabs>
          <w:tab w:val="left" w:pos="426"/>
        </w:tabs>
        <w:autoSpaceDE w:val="0"/>
        <w:autoSpaceDN w:val="0"/>
        <w:adjustRightInd w:val="0"/>
        <w:spacing w:before="280" w:after="120"/>
        <w:ind w:left="0"/>
        <w:jc w:val="both"/>
        <w:rPr>
          <w:highlight w:val="yellow"/>
        </w:rPr>
      </w:pPr>
    </w:p>
    <w:p w:rsidR="00E81C34" w:rsidRPr="00916AAE" w:rsidRDefault="00E81C34" w:rsidP="00E81C3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AE">
        <w:rPr>
          <w:rFonts w:ascii="Times New Roman" w:hAnsi="Times New Roman" w:cs="Times New Roman"/>
          <w:sz w:val="24"/>
          <w:szCs w:val="24"/>
        </w:rPr>
        <w:t>В соответствии с классификатором, вид разрешенного использования 3.10.2 «Приюты для животных» используется для размещения объектов капитального строительства: предназначенных для оказания ветеринарных услуг в стационаре;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предназначенных для организации гостиниц для животных.</w:t>
      </w:r>
      <w:proofErr w:type="gramEnd"/>
    </w:p>
    <w:p w:rsidR="00B226C5" w:rsidRPr="00916AAE" w:rsidRDefault="00897637" w:rsidP="00E81C3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AE">
        <w:rPr>
          <w:rFonts w:ascii="Times New Roman" w:hAnsi="Times New Roman" w:cs="Times New Roman"/>
          <w:sz w:val="24"/>
          <w:szCs w:val="24"/>
        </w:rPr>
        <w:t>В действующей редакции правил землепользования и застройки вид использования 3.10.2 «Приюты для животных» установлен как условно разрешенный для территориальных зон П3 Зона производственно-коммунальных объектов IV-V класса санитарной классификации, СХ</w:t>
      </w:r>
      <w:proofErr w:type="gramStart"/>
      <w:r w:rsidRPr="00916A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16AAE">
        <w:rPr>
          <w:rFonts w:ascii="Times New Roman" w:hAnsi="Times New Roman" w:cs="Times New Roman"/>
          <w:sz w:val="24"/>
          <w:szCs w:val="24"/>
        </w:rPr>
        <w:t xml:space="preserve"> Зона, занятая объектами сельскохозяйственного назначения и предназначенная для ведения сельского хозяйства, развития объектов сельскохозяйственного назначения. </w:t>
      </w:r>
      <w:r w:rsidR="00B226C5" w:rsidRPr="00916AAE">
        <w:rPr>
          <w:rFonts w:ascii="Times New Roman" w:hAnsi="Times New Roman" w:cs="Times New Roman"/>
          <w:sz w:val="24"/>
          <w:szCs w:val="24"/>
        </w:rPr>
        <w:t xml:space="preserve">В настоящее время запущены изменения, после утверждения которых вид разрешенного использования </w:t>
      </w:r>
      <w:r w:rsidR="00916AAE" w:rsidRPr="00916AAE">
        <w:rPr>
          <w:rFonts w:ascii="Times New Roman" w:hAnsi="Times New Roman" w:cs="Times New Roman"/>
          <w:sz w:val="24"/>
          <w:szCs w:val="24"/>
        </w:rPr>
        <w:t xml:space="preserve">«Приюты для животных» </w:t>
      </w:r>
      <w:r w:rsidR="00B226C5" w:rsidRPr="00916AAE">
        <w:rPr>
          <w:rFonts w:ascii="Times New Roman" w:hAnsi="Times New Roman" w:cs="Times New Roman"/>
          <w:sz w:val="24"/>
          <w:szCs w:val="24"/>
        </w:rPr>
        <w:t>будет установлен как основной для  производственных территориальных зон П</w:t>
      </w:r>
      <w:proofErr w:type="gramStart"/>
      <w:r w:rsidR="00B226C5" w:rsidRPr="00916AA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226C5" w:rsidRPr="00916AAE">
        <w:rPr>
          <w:rFonts w:ascii="Times New Roman" w:hAnsi="Times New Roman" w:cs="Times New Roman"/>
          <w:sz w:val="24"/>
          <w:szCs w:val="24"/>
        </w:rPr>
        <w:t xml:space="preserve">, П3 и сельскохозяйственной зоны СХ1. Этот проект изменений находится на этапе процедуры публичных слушаний, которые завершатся </w:t>
      </w:r>
      <w:r w:rsidR="00916AAE" w:rsidRPr="00916AAE">
        <w:rPr>
          <w:rFonts w:ascii="Times New Roman" w:hAnsi="Times New Roman" w:cs="Times New Roman"/>
          <w:sz w:val="24"/>
          <w:szCs w:val="24"/>
        </w:rPr>
        <w:t>22.01.2019г.</w:t>
      </w:r>
    </w:p>
    <w:p w:rsidR="00E81C34" w:rsidRPr="00916AAE" w:rsidRDefault="00E81C34" w:rsidP="00E81C3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AE">
        <w:rPr>
          <w:rFonts w:ascii="Times New Roman" w:hAnsi="Times New Roman" w:cs="Times New Roman"/>
          <w:sz w:val="24"/>
          <w:szCs w:val="24"/>
        </w:rPr>
        <w:t xml:space="preserve">В районе </w:t>
      </w:r>
      <w:proofErr w:type="spellStart"/>
      <w:r w:rsidRPr="00916AAE">
        <w:rPr>
          <w:rFonts w:ascii="Times New Roman" w:hAnsi="Times New Roman" w:cs="Times New Roman"/>
          <w:sz w:val="24"/>
          <w:szCs w:val="24"/>
        </w:rPr>
        <w:t>Урайских</w:t>
      </w:r>
      <w:proofErr w:type="spellEnd"/>
      <w:r w:rsidRPr="00916AAE">
        <w:rPr>
          <w:rFonts w:ascii="Times New Roman" w:hAnsi="Times New Roman" w:cs="Times New Roman"/>
          <w:sz w:val="24"/>
          <w:szCs w:val="24"/>
        </w:rPr>
        <w:t xml:space="preserve"> электрических сетей, вдоль ул</w:t>
      </w:r>
      <w:proofErr w:type="gramStart"/>
      <w:r w:rsidRPr="00916AAE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916AAE">
        <w:rPr>
          <w:rFonts w:ascii="Times New Roman" w:hAnsi="Times New Roman" w:cs="Times New Roman"/>
          <w:sz w:val="24"/>
          <w:szCs w:val="24"/>
        </w:rPr>
        <w:t xml:space="preserve">жная, в границах территориальной зоны Т1 «Зона инженерной инфраструктуры», есть возможность формирования земельного участка который можно было бы использовать для организации приюта для животных. Данное место имеет удобную транспортную доступность. </w:t>
      </w:r>
    </w:p>
    <w:p w:rsidR="00E81C34" w:rsidRPr="00916AAE" w:rsidRDefault="00E81C34" w:rsidP="00E81C3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AE">
        <w:rPr>
          <w:rFonts w:ascii="Times New Roman" w:hAnsi="Times New Roman" w:cs="Times New Roman"/>
          <w:sz w:val="24"/>
          <w:szCs w:val="24"/>
        </w:rPr>
        <w:t>Инженерная зона предназначена для размещения линейных инженерных коммуникаций и сооружений.  Для этих сооружений устанавливаются охранные зоны с особыми условиями использования, в границах которых запрещается  производить строительство, капитальный ремонт, реконструкцию или снос зданий и сооружений.</w:t>
      </w:r>
    </w:p>
    <w:p w:rsidR="00E81C34" w:rsidRPr="00916AAE" w:rsidRDefault="00E81C34" w:rsidP="00E81C3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AE">
        <w:rPr>
          <w:rFonts w:ascii="Times New Roman" w:hAnsi="Times New Roman" w:cs="Times New Roman"/>
          <w:sz w:val="24"/>
          <w:szCs w:val="24"/>
        </w:rPr>
        <w:t>Основной вид использования выбирается при формировании участка без дополнительных разрешений и согласований. Для условно разрешенного вида  необходимо сначала оформлять участок с основным видом использования, предусмотренным градостроительными регламентами для конкретной территориальной зоны (в инженерной зоне это «Коммунальное обслуживание», «Энергетика», «Связь», «Гидротехнические сооружения»)  и потом подавать заявление на получение разрешения на условно разрешенный вид.  Разрешение на условно разрешенный вид использования предоставляется после проведения публичных слушаний, при условии соблюдения владельцем участка действующих технических регламентов.</w:t>
      </w:r>
    </w:p>
    <w:p w:rsidR="00E81C34" w:rsidRPr="00916AAE" w:rsidRDefault="00916AAE" w:rsidP="00E81C34">
      <w:pPr>
        <w:pStyle w:val="a3"/>
        <w:tabs>
          <w:tab w:val="left" w:pos="426"/>
        </w:tabs>
        <w:autoSpaceDE w:val="0"/>
        <w:autoSpaceDN w:val="0"/>
        <w:adjustRightInd w:val="0"/>
        <w:spacing w:before="280" w:after="120"/>
        <w:ind w:left="0"/>
        <w:jc w:val="both"/>
        <w:rPr>
          <w:b/>
        </w:rPr>
      </w:pPr>
      <w:r w:rsidRPr="00916AAE">
        <w:rPr>
          <w:b/>
        </w:rPr>
        <w:t xml:space="preserve">В </w:t>
      </w:r>
      <w:proofErr w:type="gramStart"/>
      <w:r w:rsidRPr="00916AAE">
        <w:rPr>
          <w:b/>
        </w:rPr>
        <w:t>соответствии</w:t>
      </w:r>
      <w:proofErr w:type="gramEnd"/>
      <w:r w:rsidRPr="00916AAE">
        <w:rPr>
          <w:b/>
        </w:rPr>
        <w:t xml:space="preserve"> с проектом изменений предложено:</w:t>
      </w:r>
    </w:p>
    <w:p w:rsidR="00916AAE" w:rsidRPr="00916AAE" w:rsidRDefault="00916AAE" w:rsidP="00916AAE">
      <w:pPr>
        <w:pStyle w:val="a3"/>
        <w:tabs>
          <w:tab w:val="left" w:pos="993"/>
        </w:tabs>
        <w:ind w:left="567"/>
        <w:jc w:val="both"/>
        <w:rPr>
          <w:bCs/>
        </w:rPr>
      </w:pPr>
      <w:r w:rsidRPr="00916AAE">
        <w:rPr>
          <w:bCs/>
        </w:rPr>
        <w:t>В статье 20:</w:t>
      </w:r>
    </w:p>
    <w:p w:rsidR="00916AAE" w:rsidRPr="00916AAE" w:rsidRDefault="00916AAE" w:rsidP="00916AA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 w:rsidRPr="00916AAE">
        <w:rPr>
          <w:bCs/>
        </w:rPr>
        <w:t>таблицу 2 пункта 2 дополнить строкой об условно разрешенном виде разрешенного использования с кодом 3.10.2 «Приюты для животных» следующего содержания:</w:t>
      </w:r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1052"/>
        <w:gridCol w:w="3614"/>
        <w:gridCol w:w="771"/>
        <w:gridCol w:w="4338"/>
        <w:gridCol w:w="461"/>
      </w:tblGrid>
      <w:tr w:rsidR="00916AAE" w:rsidRPr="00916AAE" w:rsidTr="00916AAE">
        <w:trPr>
          <w:trHeight w:val="156"/>
          <w:jc w:val="center"/>
        </w:trPr>
        <w:tc>
          <w:tcPr>
            <w:tcW w:w="182" w:type="pct"/>
            <w:tcBorders>
              <w:top w:val="nil"/>
              <w:left w:val="nil"/>
              <w:bottom w:val="nil"/>
            </w:tcBorders>
          </w:tcPr>
          <w:p w:rsidR="00916AAE" w:rsidRPr="00916AAE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5" w:type="pct"/>
          </w:tcPr>
          <w:p w:rsidR="00916AAE" w:rsidRPr="00916AAE" w:rsidRDefault="00D913EA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pct"/>
          </w:tcPr>
          <w:p w:rsidR="00D913EA" w:rsidRPr="00C93912" w:rsidRDefault="00D913EA" w:rsidP="00D9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912">
              <w:rPr>
                <w:rFonts w:ascii="Times New Roman" w:hAnsi="Times New Roman" w:cs="Times New Roman"/>
              </w:rPr>
              <w:t>Основной вид</w:t>
            </w:r>
          </w:p>
          <w:p w:rsidR="00916AAE" w:rsidRPr="00916AAE" w:rsidRDefault="00D913EA" w:rsidP="00D913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912">
              <w:rPr>
                <w:rFonts w:ascii="Times New Roman" w:hAnsi="Times New Roman" w:cs="Times New Roman"/>
              </w:rPr>
              <w:t>разрешенного использования</w:t>
            </w:r>
          </w:p>
        </w:tc>
        <w:tc>
          <w:tcPr>
            <w:tcW w:w="363" w:type="pct"/>
          </w:tcPr>
          <w:p w:rsidR="00916AAE" w:rsidRPr="00916AAE" w:rsidRDefault="00D913EA" w:rsidP="00916AAE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042" w:type="pct"/>
          </w:tcPr>
          <w:p w:rsidR="00D913EA" w:rsidRPr="00C93912" w:rsidRDefault="00D913EA" w:rsidP="00D913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912">
              <w:rPr>
                <w:rFonts w:ascii="Times New Roman" w:hAnsi="Times New Roman" w:cs="Times New Roman"/>
              </w:rPr>
              <w:t>Вспомогательный вид</w:t>
            </w:r>
          </w:p>
          <w:p w:rsidR="00916AAE" w:rsidRPr="00916AAE" w:rsidRDefault="00D913EA" w:rsidP="00D913E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93912">
              <w:rPr>
                <w:rFonts w:ascii="Times New Roman" w:hAnsi="Times New Roman" w:cs="Times New Roman"/>
              </w:rPr>
              <w:t>разрешенного использования</w:t>
            </w:r>
          </w:p>
        </w:tc>
        <w:tc>
          <w:tcPr>
            <w:tcW w:w="218" w:type="pct"/>
            <w:tcBorders>
              <w:top w:val="nil"/>
              <w:bottom w:val="nil"/>
              <w:right w:val="nil"/>
            </w:tcBorders>
          </w:tcPr>
          <w:p w:rsidR="00916AAE" w:rsidRPr="00916AAE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D913EA" w:rsidRPr="00916AAE" w:rsidTr="00916AAE">
        <w:trPr>
          <w:trHeight w:val="156"/>
          <w:jc w:val="center"/>
        </w:trPr>
        <w:tc>
          <w:tcPr>
            <w:tcW w:w="182" w:type="pct"/>
            <w:tcBorders>
              <w:top w:val="nil"/>
              <w:left w:val="nil"/>
              <w:bottom w:val="nil"/>
            </w:tcBorders>
          </w:tcPr>
          <w:p w:rsidR="00D913EA" w:rsidRPr="00916AAE" w:rsidRDefault="00D913EA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913EA" w:rsidRPr="00916AAE" w:rsidRDefault="00D913EA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1701" w:type="pct"/>
          </w:tcPr>
          <w:p w:rsidR="00D913EA" w:rsidRPr="00916AAE" w:rsidRDefault="00D913EA" w:rsidP="00916A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Приюты для животных  </w:t>
            </w:r>
          </w:p>
        </w:tc>
        <w:tc>
          <w:tcPr>
            <w:tcW w:w="363" w:type="pct"/>
          </w:tcPr>
          <w:p w:rsidR="00D913EA" w:rsidRPr="00916AAE" w:rsidRDefault="00D913EA" w:rsidP="00916AAE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042" w:type="pct"/>
          </w:tcPr>
          <w:p w:rsidR="00D913EA" w:rsidRPr="00916AAE" w:rsidRDefault="00D913EA" w:rsidP="00916AAE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bottom w:val="nil"/>
              <w:right w:val="nil"/>
            </w:tcBorders>
          </w:tcPr>
          <w:p w:rsidR="00D913EA" w:rsidRPr="00916AAE" w:rsidRDefault="00D913EA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16AAE" w:rsidRPr="00916AAE" w:rsidRDefault="00916AAE" w:rsidP="00916AA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 w:rsidRPr="00916AAE">
        <w:rPr>
          <w:bCs/>
        </w:rPr>
        <w:t xml:space="preserve">  в таблице 3 пункта 3 строку 2.1 раздела «Пространственные параметры» изложить в новой редакции:</w:t>
      </w:r>
    </w:p>
    <w:tbl>
      <w:tblPr>
        <w:tblW w:w="4874" w:type="pct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790"/>
        <w:gridCol w:w="2716"/>
        <w:gridCol w:w="3290"/>
        <w:gridCol w:w="632"/>
        <w:gridCol w:w="889"/>
        <w:gridCol w:w="1410"/>
        <w:gridCol w:w="527"/>
      </w:tblGrid>
      <w:tr w:rsidR="004C5737" w:rsidRPr="00916AAE" w:rsidTr="004C5737">
        <w:trPr>
          <w:trHeight w:val="285"/>
          <w:jc w:val="center"/>
        </w:trPr>
        <w:tc>
          <w:tcPr>
            <w:tcW w:w="21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C5737" w:rsidRPr="00916AAE" w:rsidRDefault="004C5737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</w:tcBorders>
          </w:tcPr>
          <w:p w:rsidR="004C5737" w:rsidRPr="004C5737" w:rsidRDefault="004C5737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268" w:type="pct"/>
            <w:vMerge w:val="restart"/>
          </w:tcPr>
          <w:p w:rsidR="004C5737" w:rsidRPr="004C5737" w:rsidRDefault="004C5737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(классификация) параметра</w:t>
            </w:r>
          </w:p>
        </w:tc>
        <w:tc>
          <w:tcPr>
            <w:tcW w:w="2904" w:type="pct"/>
            <w:gridSpan w:val="4"/>
            <w:tcBorders>
              <w:bottom w:val="single" w:sz="4" w:space="0" w:color="auto"/>
            </w:tcBorders>
          </w:tcPr>
          <w:p w:rsidR="004C5737" w:rsidRPr="004C5737" w:rsidRDefault="004C5737" w:rsidP="004C57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  <w:p w:rsidR="004C5737" w:rsidRPr="004C5737" w:rsidRDefault="004C5737" w:rsidP="004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(предельный параметр)</w:t>
            </w:r>
          </w:p>
        </w:tc>
        <w:tc>
          <w:tcPr>
            <w:tcW w:w="24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C5737" w:rsidRPr="00916AAE" w:rsidRDefault="004C5737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F5" w:rsidRPr="00916AAE" w:rsidTr="005823F5">
        <w:trPr>
          <w:trHeight w:val="506"/>
          <w:jc w:val="center"/>
        </w:trPr>
        <w:tc>
          <w:tcPr>
            <w:tcW w:w="213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5823F5" w:rsidRPr="00916AAE" w:rsidRDefault="005823F5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</w:tcBorders>
          </w:tcPr>
          <w:p w:rsidR="005823F5" w:rsidRPr="004C5737" w:rsidRDefault="005823F5" w:rsidP="0091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5823F5" w:rsidRPr="004C5737" w:rsidRDefault="005823F5" w:rsidP="00916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</w:tcBorders>
          </w:tcPr>
          <w:p w:rsidR="005823F5" w:rsidRPr="004C5737" w:rsidRDefault="005823F5" w:rsidP="00582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 установлен </w:t>
            </w:r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ВРИ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5823F5" w:rsidRPr="004C5737" w:rsidRDefault="004C5737" w:rsidP="0091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5823F5" w:rsidRPr="004C5737" w:rsidRDefault="004C5737" w:rsidP="0091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:rsidR="005823F5" w:rsidRPr="004C5737" w:rsidRDefault="004C5737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737">
              <w:rPr>
                <w:rFonts w:ascii="Times New Roman" w:hAnsi="Times New Roman" w:cs="Times New Roman"/>
                <w:sz w:val="24"/>
                <w:szCs w:val="24"/>
              </w:rPr>
              <w:t>Текстовое значение</w:t>
            </w:r>
          </w:p>
        </w:tc>
        <w:tc>
          <w:tcPr>
            <w:tcW w:w="24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823F5" w:rsidRPr="00916AAE" w:rsidRDefault="005823F5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3EA" w:rsidRPr="00916AAE" w:rsidTr="00916AAE">
        <w:trPr>
          <w:trHeight w:val="484"/>
          <w:jc w:val="center"/>
        </w:trPr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3EA" w:rsidRPr="00916AAE" w:rsidRDefault="00D913EA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D913EA" w:rsidRPr="00916AAE" w:rsidRDefault="00D913EA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D913EA" w:rsidRPr="00916AAE" w:rsidRDefault="00D913EA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D913EA" w:rsidRPr="00916AAE" w:rsidRDefault="00D913EA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D913EA" w:rsidRPr="00916AAE" w:rsidRDefault="00D913EA" w:rsidP="0091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D913EA" w:rsidRPr="00916AAE" w:rsidRDefault="00D913EA" w:rsidP="0091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D913EA" w:rsidRPr="00916AAE" w:rsidRDefault="00D913EA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nil"/>
            </w:tcBorders>
            <w:vAlign w:val="center"/>
          </w:tcPr>
          <w:p w:rsidR="00D913EA" w:rsidRPr="00916AAE" w:rsidRDefault="00D913EA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F5" w:rsidRPr="00916AAE" w:rsidTr="00916AAE">
        <w:trPr>
          <w:trHeight w:val="484"/>
          <w:jc w:val="center"/>
        </w:trPr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23F5" w:rsidRPr="00916AAE" w:rsidRDefault="005823F5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5823F5" w:rsidRPr="00916AAE" w:rsidRDefault="005823F5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68" w:type="pct"/>
          </w:tcPr>
          <w:p w:rsidR="005823F5" w:rsidRPr="00916AAE" w:rsidRDefault="005823F5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1536" w:type="pct"/>
          </w:tcPr>
          <w:p w:rsidR="005823F5" w:rsidRPr="00916AAE" w:rsidRDefault="005823F5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3.10.2 Приюты для животных</w:t>
            </w:r>
          </w:p>
        </w:tc>
        <w:tc>
          <w:tcPr>
            <w:tcW w:w="295" w:type="pct"/>
          </w:tcPr>
          <w:p w:rsidR="005823F5" w:rsidRPr="00916AAE" w:rsidRDefault="005823F5" w:rsidP="0091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5" w:type="pct"/>
          </w:tcPr>
          <w:p w:rsidR="005823F5" w:rsidRPr="00916AAE" w:rsidRDefault="005823F5" w:rsidP="0091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vAlign w:val="center"/>
          </w:tcPr>
          <w:p w:rsidR="005823F5" w:rsidRPr="00916AAE" w:rsidRDefault="005823F5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bottom w:val="nil"/>
              <w:right w:val="nil"/>
            </w:tcBorders>
            <w:vAlign w:val="center"/>
          </w:tcPr>
          <w:p w:rsidR="005823F5" w:rsidRPr="00916AAE" w:rsidRDefault="005823F5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C34" w:rsidRPr="00916AAE" w:rsidRDefault="00E81C34" w:rsidP="00E81C34">
      <w:pPr>
        <w:pStyle w:val="a3"/>
        <w:tabs>
          <w:tab w:val="left" w:pos="426"/>
        </w:tabs>
        <w:autoSpaceDE w:val="0"/>
        <w:autoSpaceDN w:val="0"/>
        <w:adjustRightInd w:val="0"/>
        <w:spacing w:before="280" w:after="120"/>
        <w:ind w:left="0"/>
        <w:jc w:val="both"/>
        <w:rPr>
          <w:highlight w:val="yellow"/>
        </w:rPr>
      </w:pPr>
    </w:p>
    <w:p w:rsidR="00E81C34" w:rsidRPr="00916AAE" w:rsidRDefault="00E81C34" w:rsidP="00E81C34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80" w:after="120"/>
        <w:ind w:left="0" w:firstLine="0"/>
        <w:jc w:val="both"/>
      </w:pPr>
      <w:r w:rsidRPr="00916AAE">
        <w:lastRenderedPageBreak/>
        <w:t>В градостроительных регламентах - изменить предельный параметр «Общая площадь объекта разрешенного вида использования, (м</w:t>
      </w:r>
      <w:proofErr w:type="gramStart"/>
      <w:r w:rsidRPr="00916AAE">
        <w:t>2</w:t>
      </w:r>
      <w:proofErr w:type="gramEnd"/>
      <w:r w:rsidRPr="00916AAE">
        <w:t>)» для вида разрешенного использования  4.4 «Магазины» для территориальной зоны Ж3 «Зона малоэтажной жилой застройки» с 150м2 на 500м2 (статья12).</w:t>
      </w:r>
    </w:p>
    <w:p w:rsidR="00E81C34" w:rsidRPr="00916AAE" w:rsidRDefault="00E81C34" w:rsidP="00E81C34">
      <w:pPr>
        <w:pStyle w:val="a3"/>
        <w:rPr>
          <w:highlight w:val="yellow"/>
        </w:rPr>
      </w:pPr>
    </w:p>
    <w:p w:rsidR="00916AAE" w:rsidRPr="00916AAE" w:rsidRDefault="00916AAE" w:rsidP="00916AA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AE">
        <w:rPr>
          <w:rFonts w:ascii="Times New Roman" w:hAnsi="Times New Roman" w:cs="Times New Roman"/>
          <w:sz w:val="24"/>
          <w:szCs w:val="24"/>
        </w:rPr>
        <w:t xml:space="preserve">В действующих </w:t>
      </w:r>
      <w:proofErr w:type="gramStart"/>
      <w:r w:rsidRPr="00916AAE">
        <w:rPr>
          <w:rFonts w:ascii="Times New Roman" w:hAnsi="Times New Roman" w:cs="Times New Roman"/>
          <w:sz w:val="24"/>
          <w:szCs w:val="24"/>
        </w:rPr>
        <w:t>регламентах</w:t>
      </w:r>
      <w:proofErr w:type="gramEnd"/>
      <w:r w:rsidRPr="00916AAE">
        <w:rPr>
          <w:rFonts w:ascii="Times New Roman" w:hAnsi="Times New Roman" w:cs="Times New Roman"/>
          <w:sz w:val="24"/>
          <w:szCs w:val="24"/>
        </w:rPr>
        <w:t xml:space="preserve"> для вида использования 4.4 установлена максимальная общая площадь объекта 150м2. Данная площадь не позволяет </w:t>
      </w:r>
      <w:proofErr w:type="gramStart"/>
      <w:r w:rsidRPr="00916AA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16AAE">
        <w:rPr>
          <w:rFonts w:ascii="Times New Roman" w:hAnsi="Times New Roman" w:cs="Times New Roman"/>
          <w:sz w:val="24"/>
          <w:szCs w:val="24"/>
        </w:rPr>
        <w:t xml:space="preserve"> современный комфортный магазин.</w:t>
      </w:r>
    </w:p>
    <w:p w:rsidR="00916AAE" w:rsidRPr="00916AAE" w:rsidRDefault="00916AAE" w:rsidP="00916AA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A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16AA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16AAE">
        <w:rPr>
          <w:rFonts w:ascii="Times New Roman" w:hAnsi="Times New Roman" w:cs="Times New Roman"/>
          <w:sz w:val="24"/>
          <w:szCs w:val="24"/>
        </w:rPr>
        <w:t xml:space="preserve"> с классификатором видов разрешенного использования: «Магазин» - Размещение объектов капитального строительства, предназначенных для продажи товаров, торговая площадь которых составляет до 5000 кв. м. Размещение  дополнительных хозяйственных объектов классификатором не предусмотрено.</w:t>
      </w:r>
    </w:p>
    <w:p w:rsidR="00916AAE" w:rsidRPr="00916AAE" w:rsidRDefault="00916AAE" w:rsidP="00916AA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AE">
        <w:rPr>
          <w:rFonts w:ascii="Times New Roman" w:hAnsi="Times New Roman" w:cs="Times New Roman"/>
          <w:sz w:val="24"/>
          <w:szCs w:val="24"/>
        </w:rPr>
        <w:t xml:space="preserve">Анализ правил землепользования других муниципальных образований округа показал, что для территориальных </w:t>
      </w:r>
      <w:proofErr w:type="gramStart"/>
      <w:r w:rsidRPr="00916AAE">
        <w:rPr>
          <w:rFonts w:ascii="Times New Roman" w:hAnsi="Times New Roman" w:cs="Times New Roman"/>
          <w:sz w:val="24"/>
          <w:szCs w:val="24"/>
        </w:rPr>
        <w:t>зон</w:t>
      </w:r>
      <w:proofErr w:type="gramEnd"/>
      <w:r w:rsidRPr="00916AAE">
        <w:rPr>
          <w:rFonts w:ascii="Times New Roman" w:hAnsi="Times New Roman" w:cs="Times New Roman"/>
          <w:sz w:val="24"/>
          <w:szCs w:val="24"/>
        </w:rPr>
        <w:t xml:space="preserve"> предназначенных для индивидуальной жилой застройки установлены различные показатели: от 150м2 до 5000м2 торговой площади. </w:t>
      </w:r>
    </w:p>
    <w:p w:rsidR="00916AAE" w:rsidRPr="00916AAE" w:rsidRDefault="00916AAE" w:rsidP="00916AA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AE">
        <w:rPr>
          <w:rFonts w:ascii="Times New Roman" w:hAnsi="Times New Roman" w:cs="Times New Roman"/>
          <w:sz w:val="24"/>
          <w:szCs w:val="24"/>
        </w:rPr>
        <w:t>Увеличение площади торгового объекта и определение его как супермаркета, торгового центра (комплекса) влечет появление санитарно-защитной зоны.</w:t>
      </w:r>
    </w:p>
    <w:p w:rsidR="00916AAE" w:rsidRPr="00916AAE" w:rsidRDefault="00916AAE" w:rsidP="00916AA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AE">
        <w:rPr>
          <w:rFonts w:ascii="Times New Roman" w:hAnsi="Times New Roman" w:cs="Times New Roman"/>
          <w:sz w:val="24"/>
          <w:szCs w:val="24"/>
        </w:rPr>
        <w:t>В соответствии с САНПИН 2.2.1/2.1.1.1200-03 «Санитарно-защитные зоны и санитарная классификация предприятий, сооружений и иных объектов» (постановление Главного государственного санитарного врача РФ от 25.09.2007 №74  от 25.09.2007 г.), отдельно стоящие гипермаркеты, супермаркеты, торговые комплексы и центры, предприятия общественного питания, мелкооптовые рынки, рынки продовольственных и промышленных товаров, многофункциональные комплексы относятся к  V классу санитарной классификации и образуют санитарно-защитную зону 50</w:t>
      </w:r>
      <w:proofErr w:type="gramEnd"/>
      <w:r w:rsidRPr="00916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AE">
        <w:rPr>
          <w:rFonts w:ascii="Times New Roman" w:hAnsi="Times New Roman" w:cs="Times New Roman"/>
          <w:sz w:val="24"/>
          <w:szCs w:val="24"/>
        </w:rPr>
        <w:t xml:space="preserve">м. Санитарно защитная зона не должна накладываться на жилую застройку, включая отдельные жилые дома, территории садоводческих товариществ и </w:t>
      </w:r>
      <w:proofErr w:type="spellStart"/>
      <w:r w:rsidRPr="00916AAE">
        <w:rPr>
          <w:rFonts w:ascii="Times New Roman" w:hAnsi="Times New Roman" w:cs="Times New Roman"/>
          <w:sz w:val="24"/>
          <w:szCs w:val="24"/>
        </w:rPr>
        <w:t>коттеджной</w:t>
      </w:r>
      <w:proofErr w:type="spellEnd"/>
      <w:r w:rsidRPr="00916AAE">
        <w:rPr>
          <w:rFonts w:ascii="Times New Roman" w:hAnsi="Times New Roman" w:cs="Times New Roman"/>
          <w:sz w:val="24"/>
          <w:szCs w:val="24"/>
        </w:rPr>
        <w:t xml:space="preserve">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  <w:proofErr w:type="gramEnd"/>
    </w:p>
    <w:p w:rsidR="00916AAE" w:rsidRPr="00916AAE" w:rsidRDefault="00916AAE" w:rsidP="00916AAE">
      <w:pPr>
        <w:pStyle w:val="a3"/>
        <w:tabs>
          <w:tab w:val="left" w:pos="426"/>
        </w:tabs>
        <w:autoSpaceDE w:val="0"/>
        <w:autoSpaceDN w:val="0"/>
        <w:adjustRightInd w:val="0"/>
        <w:spacing w:before="280" w:after="120"/>
        <w:ind w:left="0"/>
        <w:jc w:val="both"/>
        <w:rPr>
          <w:b/>
        </w:rPr>
      </w:pPr>
      <w:r w:rsidRPr="00916AAE">
        <w:rPr>
          <w:b/>
        </w:rPr>
        <w:t xml:space="preserve">В </w:t>
      </w:r>
      <w:proofErr w:type="gramStart"/>
      <w:r w:rsidRPr="00916AAE">
        <w:rPr>
          <w:b/>
        </w:rPr>
        <w:t>соответствии</w:t>
      </w:r>
      <w:proofErr w:type="gramEnd"/>
      <w:r w:rsidRPr="00916AAE">
        <w:rPr>
          <w:b/>
        </w:rPr>
        <w:t xml:space="preserve"> с проектом изменений предложено:</w:t>
      </w:r>
    </w:p>
    <w:p w:rsidR="00916AAE" w:rsidRPr="00916AAE" w:rsidRDefault="00916AAE" w:rsidP="00916AA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Cs/>
        </w:rPr>
      </w:pPr>
      <w:r w:rsidRPr="00916AAE">
        <w:rPr>
          <w:bCs/>
        </w:rPr>
        <w:t>В части III:</w:t>
      </w:r>
    </w:p>
    <w:p w:rsidR="00916AAE" w:rsidRPr="00916AAE" w:rsidRDefault="00916AAE" w:rsidP="00916AAE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Cs/>
        </w:rPr>
      </w:pPr>
      <w:r w:rsidRPr="00916AAE">
        <w:rPr>
          <w:bCs/>
        </w:rPr>
        <w:t>В таблице 3 пункта 3 статьи 12 строку 1.2 раздела «Пространственные параметры» изложить в новой редакции:</w:t>
      </w:r>
    </w:p>
    <w:tbl>
      <w:tblPr>
        <w:tblW w:w="4874" w:type="pct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790"/>
        <w:gridCol w:w="2716"/>
        <w:gridCol w:w="3290"/>
        <w:gridCol w:w="632"/>
        <w:gridCol w:w="889"/>
        <w:gridCol w:w="1410"/>
        <w:gridCol w:w="527"/>
      </w:tblGrid>
      <w:tr w:rsidR="00916AAE" w:rsidRPr="00916AAE" w:rsidTr="00916AAE">
        <w:trPr>
          <w:trHeight w:val="487"/>
          <w:jc w:val="center"/>
        </w:trPr>
        <w:tc>
          <w:tcPr>
            <w:tcW w:w="21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AAE" w:rsidRPr="00916AAE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</w:tcBorders>
          </w:tcPr>
          <w:p w:rsidR="00916AAE" w:rsidRPr="00916AAE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68" w:type="pct"/>
            <w:vMerge w:val="restart"/>
          </w:tcPr>
          <w:p w:rsidR="00916AAE" w:rsidRPr="00916AAE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разрешенного вида использования, (м</w:t>
            </w:r>
            <w:proofErr w:type="gramStart"/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pct"/>
          </w:tcPr>
          <w:p w:rsidR="00916AAE" w:rsidRPr="00916AAE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3.3 Бытовое обслуживание,</w:t>
            </w:r>
          </w:p>
          <w:p w:rsidR="00916AAE" w:rsidRPr="00916AAE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4.6 Общественное питание.</w:t>
            </w:r>
          </w:p>
        </w:tc>
        <w:tc>
          <w:tcPr>
            <w:tcW w:w="295" w:type="pct"/>
          </w:tcPr>
          <w:p w:rsidR="00916AAE" w:rsidRPr="00916AAE" w:rsidRDefault="00916AAE" w:rsidP="0091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15" w:type="pct"/>
          </w:tcPr>
          <w:p w:rsidR="00916AAE" w:rsidRPr="00916AAE" w:rsidRDefault="00916AAE" w:rsidP="0091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8" w:type="pct"/>
            <w:vAlign w:val="center"/>
          </w:tcPr>
          <w:p w:rsidR="00916AAE" w:rsidRPr="00916AAE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bottom w:val="nil"/>
              <w:right w:val="nil"/>
            </w:tcBorders>
            <w:vAlign w:val="center"/>
          </w:tcPr>
          <w:p w:rsidR="00916AAE" w:rsidRPr="00916AAE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AAE" w:rsidRPr="00916AAE" w:rsidTr="00916AAE">
        <w:trPr>
          <w:trHeight w:val="299"/>
          <w:jc w:val="center"/>
        </w:trPr>
        <w:tc>
          <w:tcPr>
            <w:tcW w:w="21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AAE" w:rsidRPr="00916AAE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</w:tcBorders>
          </w:tcPr>
          <w:p w:rsidR="00916AAE" w:rsidRPr="00916AAE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vMerge/>
          </w:tcPr>
          <w:p w:rsidR="00916AAE" w:rsidRPr="00916AAE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916AAE" w:rsidRPr="00C93912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9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4.4 Магазины</w:t>
            </w:r>
          </w:p>
          <w:p w:rsidR="00916AAE" w:rsidRPr="00C93912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5" w:type="pct"/>
          </w:tcPr>
          <w:p w:rsidR="00916AAE" w:rsidRPr="00C93912" w:rsidRDefault="00916AAE" w:rsidP="00916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9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  <w:tc>
          <w:tcPr>
            <w:tcW w:w="415" w:type="pct"/>
          </w:tcPr>
          <w:p w:rsidR="00916AAE" w:rsidRPr="00C93912" w:rsidRDefault="00916AAE" w:rsidP="00916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39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658" w:type="pct"/>
            <w:vAlign w:val="center"/>
          </w:tcPr>
          <w:p w:rsidR="00916AAE" w:rsidRPr="00916AAE" w:rsidRDefault="00916AAE" w:rsidP="00916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nil"/>
              <w:right w:val="nil"/>
            </w:tcBorders>
          </w:tcPr>
          <w:p w:rsidR="00916AAE" w:rsidRPr="00916AAE" w:rsidRDefault="00916AAE" w:rsidP="00916A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916AAE" w:rsidRPr="00916AAE" w:rsidRDefault="00E81C34" w:rsidP="00916AAE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280" w:after="120"/>
        <w:jc w:val="both"/>
        <w:rPr>
          <w:sz w:val="28"/>
          <w:szCs w:val="28"/>
          <w:highlight w:val="yellow"/>
        </w:rPr>
      </w:pPr>
      <w:r w:rsidRPr="00916AAE">
        <w:rPr>
          <w:sz w:val="28"/>
          <w:szCs w:val="28"/>
          <w:highlight w:val="yellow"/>
        </w:rPr>
        <w:t>В Карте градостроительного зонирования изменить границы территориальных зон</w:t>
      </w:r>
      <w:r w:rsidR="00916AAE" w:rsidRPr="00916AAE">
        <w:rPr>
          <w:sz w:val="28"/>
          <w:szCs w:val="28"/>
          <w:highlight w:val="yellow"/>
        </w:rPr>
        <w:t>:</w:t>
      </w:r>
    </w:p>
    <w:p w:rsidR="00E81C34" w:rsidRPr="00916AAE" w:rsidRDefault="00916AAE" w:rsidP="00916AAE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280" w:after="120"/>
        <w:ind w:left="0" w:firstLine="0"/>
        <w:jc w:val="both"/>
      </w:pPr>
      <w:r>
        <w:t>В</w:t>
      </w:r>
      <w:r w:rsidR="00E81C34" w:rsidRPr="00916AAE">
        <w:t xml:space="preserve"> районе пересечения улиц Южная и Проезд</w:t>
      </w:r>
      <w:proofErr w:type="gramStart"/>
      <w:r w:rsidR="00E81C34" w:rsidRPr="00916AAE">
        <w:t>9</w:t>
      </w:r>
      <w:proofErr w:type="gramEnd"/>
      <w:r w:rsidR="00E81C34" w:rsidRPr="00916AAE">
        <w:t>,  территориальной зоной Т2 «Зона транспортной инфраструктуры» - считать часть территориальной зоны Т1 «Зона инженерной инфраструктуры» и зоны Р1 «Зона городских парков, спортивных комплексов и сооружений» зоной Т2. Учесть наличие перспективной общественно-деловой зоны и перспективной индивидуальной жилой застройки, предусмотренной Генеральным планом, сместив перспективные территории вправо.</w:t>
      </w:r>
    </w:p>
    <w:p w:rsidR="00916AAE" w:rsidRPr="00916AAE" w:rsidRDefault="00916AAE" w:rsidP="00916AA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AE">
        <w:rPr>
          <w:rFonts w:ascii="Times New Roman" w:hAnsi="Times New Roman" w:cs="Times New Roman"/>
          <w:sz w:val="24"/>
          <w:szCs w:val="24"/>
        </w:rPr>
        <w:t xml:space="preserve">Изменения предложены по заявлению заинтересованного лица, </w:t>
      </w:r>
      <w:proofErr w:type="gramStart"/>
      <w:r w:rsidRPr="00916AAE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16AAE">
        <w:rPr>
          <w:rFonts w:ascii="Times New Roman" w:hAnsi="Times New Roman" w:cs="Times New Roman"/>
          <w:sz w:val="24"/>
          <w:szCs w:val="24"/>
        </w:rPr>
        <w:t xml:space="preserve"> занимается деятельностью по оказанию услуг </w:t>
      </w:r>
      <w:proofErr w:type="spellStart"/>
      <w:r w:rsidRPr="00916AAE">
        <w:rPr>
          <w:rFonts w:ascii="Times New Roman" w:hAnsi="Times New Roman" w:cs="Times New Roman"/>
          <w:sz w:val="24"/>
          <w:szCs w:val="24"/>
        </w:rPr>
        <w:t>автоспецтехникой</w:t>
      </w:r>
      <w:proofErr w:type="spellEnd"/>
      <w:r w:rsidRPr="00916AAE">
        <w:rPr>
          <w:rFonts w:ascii="Times New Roman" w:hAnsi="Times New Roman" w:cs="Times New Roman"/>
          <w:sz w:val="24"/>
          <w:szCs w:val="24"/>
        </w:rPr>
        <w:t xml:space="preserve">. Для развития бизнеса хочет получить в аренду земельный участок площадью 12 га для строительства </w:t>
      </w:r>
      <w:proofErr w:type="spellStart"/>
      <w:r w:rsidRPr="00916AAE">
        <w:rPr>
          <w:rFonts w:ascii="Times New Roman" w:hAnsi="Times New Roman" w:cs="Times New Roman"/>
          <w:sz w:val="24"/>
          <w:szCs w:val="24"/>
        </w:rPr>
        <w:t>автостояночного</w:t>
      </w:r>
      <w:proofErr w:type="spellEnd"/>
      <w:r w:rsidRPr="00916AAE">
        <w:rPr>
          <w:rFonts w:ascii="Times New Roman" w:hAnsi="Times New Roman" w:cs="Times New Roman"/>
          <w:sz w:val="24"/>
          <w:szCs w:val="24"/>
        </w:rPr>
        <w:t xml:space="preserve">  комплекса с многофункциональным назначением, включающим автостоянку, в т.ч. для большегрузного транспорта, спецтехники, </w:t>
      </w:r>
      <w:proofErr w:type="spellStart"/>
      <w:r w:rsidRPr="00916AAE">
        <w:rPr>
          <w:rFonts w:ascii="Times New Roman" w:hAnsi="Times New Roman" w:cs="Times New Roman"/>
          <w:sz w:val="24"/>
          <w:szCs w:val="24"/>
        </w:rPr>
        <w:t>автомойку</w:t>
      </w:r>
      <w:proofErr w:type="spellEnd"/>
      <w:r w:rsidRPr="00916AAE">
        <w:rPr>
          <w:rFonts w:ascii="Times New Roman" w:hAnsi="Times New Roman" w:cs="Times New Roman"/>
          <w:sz w:val="24"/>
          <w:szCs w:val="24"/>
        </w:rPr>
        <w:t>, автосервис, пункт общественного питания, АЗС, АГЗС.</w:t>
      </w:r>
    </w:p>
    <w:p w:rsidR="00916AAE" w:rsidRPr="00916AAE" w:rsidRDefault="00916AAE" w:rsidP="00916AA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AE">
        <w:rPr>
          <w:rFonts w:ascii="Times New Roman" w:hAnsi="Times New Roman" w:cs="Times New Roman"/>
          <w:sz w:val="24"/>
          <w:szCs w:val="24"/>
        </w:rPr>
        <w:t xml:space="preserve">Рассматриваемая территория, на сегодняшний день, расположена в инженерной зоне. В </w:t>
      </w:r>
      <w:proofErr w:type="gramStart"/>
      <w:r w:rsidRPr="00916AA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16AAE">
        <w:rPr>
          <w:rFonts w:ascii="Times New Roman" w:hAnsi="Times New Roman" w:cs="Times New Roman"/>
          <w:sz w:val="24"/>
          <w:szCs w:val="24"/>
        </w:rPr>
        <w:t xml:space="preserve"> с Генеральным планом, часть территории это зона транспортной инфраструктуры и другая часть - «Природного ландшафта». Комиссией уже запущены изменения назначения зоны на </w:t>
      </w:r>
      <w:proofErr w:type="gramStart"/>
      <w:r w:rsidRPr="00916AAE">
        <w:rPr>
          <w:rFonts w:ascii="Times New Roman" w:hAnsi="Times New Roman" w:cs="Times New Roman"/>
          <w:sz w:val="24"/>
          <w:szCs w:val="24"/>
        </w:rPr>
        <w:t>транспортную</w:t>
      </w:r>
      <w:proofErr w:type="gramEnd"/>
      <w:r w:rsidRPr="00916AAE">
        <w:rPr>
          <w:rFonts w:ascii="Times New Roman" w:hAnsi="Times New Roman" w:cs="Times New Roman"/>
          <w:sz w:val="24"/>
          <w:szCs w:val="24"/>
        </w:rPr>
        <w:t xml:space="preserve">, для приведения в соответствие с Генеральным планом. Но заявитель предлагает изменить назначение и той территории, которая, в соответствии с </w:t>
      </w:r>
      <w:proofErr w:type="spellStart"/>
      <w:r w:rsidRPr="00916AAE">
        <w:rPr>
          <w:rFonts w:ascii="Times New Roman" w:hAnsi="Times New Roman" w:cs="Times New Roman"/>
          <w:sz w:val="24"/>
          <w:szCs w:val="24"/>
        </w:rPr>
        <w:t>градзонированием</w:t>
      </w:r>
      <w:proofErr w:type="spellEnd"/>
      <w:r w:rsidRPr="00916AAE">
        <w:rPr>
          <w:rFonts w:ascii="Times New Roman" w:hAnsi="Times New Roman" w:cs="Times New Roman"/>
          <w:sz w:val="24"/>
          <w:szCs w:val="24"/>
        </w:rPr>
        <w:t xml:space="preserve"> располагается в территориальной зоне Р</w:t>
      </w:r>
      <w:proofErr w:type="gramStart"/>
      <w:r w:rsidRPr="00916A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16AAE">
        <w:rPr>
          <w:rFonts w:ascii="Times New Roman" w:hAnsi="Times New Roman" w:cs="Times New Roman"/>
          <w:sz w:val="24"/>
          <w:szCs w:val="24"/>
        </w:rPr>
        <w:t xml:space="preserve"> ««Зона городских парков, спортивных комплексов и сооружений». </w:t>
      </w:r>
      <w:proofErr w:type="gramStart"/>
      <w:r w:rsidRPr="00916AA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916AAE">
        <w:rPr>
          <w:rFonts w:ascii="Times New Roman" w:hAnsi="Times New Roman" w:cs="Times New Roman"/>
          <w:sz w:val="24"/>
          <w:szCs w:val="24"/>
        </w:rPr>
        <w:t>матералами</w:t>
      </w:r>
      <w:proofErr w:type="spellEnd"/>
      <w:r w:rsidRPr="00916AAE">
        <w:rPr>
          <w:rFonts w:ascii="Times New Roman" w:hAnsi="Times New Roman" w:cs="Times New Roman"/>
          <w:sz w:val="24"/>
          <w:szCs w:val="24"/>
        </w:rPr>
        <w:t xml:space="preserve"> по обоснованию генерального плана, справа от транспортной зоны определены перспективная общественно-деловая территория, а далее перспективная индивидуальная жилая застройка.</w:t>
      </w:r>
      <w:proofErr w:type="gramEnd"/>
    </w:p>
    <w:p w:rsidR="009C393B" w:rsidRDefault="00916AAE">
      <w:pPr>
        <w:rPr>
          <w:rFonts w:ascii="Times New Roman" w:hAnsi="Times New Roman" w:cs="Times New Roman"/>
          <w:sz w:val="24"/>
          <w:szCs w:val="24"/>
        </w:rPr>
      </w:pPr>
      <w:r w:rsidRPr="00916A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0" cy="5124450"/>
            <wp:effectExtent l="19050" t="0" r="0" b="0"/>
            <wp:docPr id="2" name="Рисунок 2" descr="\\SERVER\Work\ДОКУМЕНТЫ\11 Архитектура\Правила землепользования и застройки\2018\11-18 (ширинкин Т1 в Т2\ДМ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Work\ДОКУМЕНТЫ\11 Архитектура\Правила землепользования и застройки\2018\11-18 (ширинкин Т1 в Т2\ДМ 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37" w:rsidRPr="00916AAE" w:rsidRDefault="004C5737" w:rsidP="004C573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AE">
        <w:rPr>
          <w:rFonts w:ascii="Times New Roman" w:hAnsi="Times New Roman" w:cs="Times New Roman"/>
          <w:sz w:val="24"/>
          <w:szCs w:val="24"/>
        </w:rPr>
        <w:t>АЗС, стоянки, ремонтные базы, предназначенные для размещения в транспортной зоне, образуют санитарно-защитные зоны (СЗЗ), которые не должны накладываться на жилые дома. Ширина зоны между будущей транспортной зоной и перспективной зоной Ж3 составляет 100м. Для того чтобы СЗЗ от объектов транспорта не распространялась на жилую зону, между ними предусмотрена зона для размещения объектов, которые не образуют СЗЗ.</w:t>
      </w:r>
    </w:p>
    <w:p w:rsidR="004C5737" w:rsidRPr="00916AAE" w:rsidRDefault="004C5737" w:rsidP="004C573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AE">
        <w:rPr>
          <w:rFonts w:ascii="Times New Roman" w:hAnsi="Times New Roman" w:cs="Times New Roman"/>
          <w:sz w:val="24"/>
          <w:szCs w:val="24"/>
        </w:rPr>
        <w:t>Существующих объектов нет ни на рассматриваемой территории, ни в зоне индивидуальной жилой застройки.</w:t>
      </w:r>
    </w:p>
    <w:p w:rsidR="004C5737" w:rsidRPr="00916AAE" w:rsidRDefault="004C5737" w:rsidP="004C573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AE">
        <w:rPr>
          <w:rFonts w:ascii="Times New Roman" w:hAnsi="Times New Roman" w:cs="Times New Roman"/>
          <w:sz w:val="24"/>
          <w:szCs w:val="24"/>
        </w:rPr>
        <w:t>Проектом, при изменении границ территориальных учтено наличие перспективной общественно-деловой зоны и перспективной индивидуальной жилой застройки, предусмотренных Генеральным планом и границы этих зон смещены   вправо.</w:t>
      </w:r>
      <w:proofErr w:type="gramEnd"/>
    </w:p>
    <w:p w:rsidR="004C5737" w:rsidRDefault="004C5737">
      <w:pPr>
        <w:rPr>
          <w:rFonts w:ascii="Times New Roman" w:hAnsi="Times New Roman" w:cs="Times New Roman"/>
          <w:sz w:val="24"/>
          <w:szCs w:val="24"/>
        </w:rPr>
      </w:pPr>
    </w:p>
    <w:p w:rsidR="008F7BB6" w:rsidRDefault="008711D3" w:rsidP="008F7BB6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</w:pPr>
      <w:r>
        <w:t>С</w:t>
      </w:r>
      <w:r w:rsidRPr="008711D3">
        <w:t>читать часть территориальной зоны Т</w:t>
      </w:r>
      <w:proofErr w:type="gramStart"/>
      <w:r w:rsidRPr="008711D3">
        <w:t>1</w:t>
      </w:r>
      <w:proofErr w:type="gramEnd"/>
      <w:r w:rsidRPr="008711D3">
        <w:t xml:space="preserve"> «Зона инженерной инфраструктуры» территориальной зоной СХ2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 </w:t>
      </w:r>
      <w:r>
        <w:t xml:space="preserve"> </w:t>
      </w:r>
      <w:r w:rsidR="008F7BB6">
        <w:t>(вдоль улицы Южная, в районе ДНТ Северянка).</w:t>
      </w:r>
    </w:p>
    <w:p w:rsidR="008F7BB6" w:rsidRDefault="008F7BB6" w:rsidP="008711D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AAE" w:rsidRDefault="008711D3" w:rsidP="008711D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AE">
        <w:rPr>
          <w:rFonts w:ascii="Times New Roman" w:hAnsi="Times New Roman" w:cs="Times New Roman"/>
          <w:sz w:val="24"/>
          <w:szCs w:val="24"/>
        </w:rPr>
        <w:t>Изменения предложены по з</w:t>
      </w:r>
      <w:r>
        <w:rPr>
          <w:rFonts w:ascii="Times New Roman" w:hAnsi="Times New Roman" w:cs="Times New Roman"/>
          <w:sz w:val="24"/>
          <w:szCs w:val="24"/>
        </w:rPr>
        <w:t>аявлению заинтересованного лица для возможности формирования земельного участка.</w:t>
      </w:r>
    </w:p>
    <w:p w:rsidR="008711D3" w:rsidRPr="008711D3" w:rsidRDefault="008711D3" w:rsidP="008711D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1D3">
        <w:rPr>
          <w:rFonts w:ascii="Times New Roman" w:hAnsi="Times New Roman" w:cs="Times New Roman"/>
          <w:sz w:val="24"/>
          <w:szCs w:val="24"/>
        </w:rPr>
        <w:t xml:space="preserve">Рассматриваемая территория расположена вдоль улицы Южная, напротив проезда </w:t>
      </w:r>
      <w:proofErr w:type="gramStart"/>
      <w:r w:rsidRPr="008711D3">
        <w:rPr>
          <w:rFonts w:ascii="Times New Roman" w:hAnsi="Times New Roman" w:cs="Times New Roman"/>
          <w:sz w:val="24"/>
          <w:szCs w:val="24"/>
        </w:rPr>
        <w:t>Животново</w:t>
      </w:r>
      <w:r>
        <w:rPr>
          <w:rFonts w:ascii="Times New Roman" w:hAnsi="Times New Roman" w:cs="Times New Roman"/>
          <w:sz w:val="24"/>
          <w:szCs w:val="24"/>
        </w:rPr>
        <w:t>дческий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районе ДНТ Северянка и </w:t>
      </w:r>
      <w:r w:rsidRPr="008711D3">
        <w:rPr>
          <w:rFonts w:ascii="Times New Roman" w:hAnsi="Times New Roman" w:cs="Times New Roman"/>
          <w:sz w:val="24"/>
          <w:szCs w:val="24"/>
        </w:rPr>
        <w:t xml:space="preserve">ограничена: </w:t>
      </w:r>
    </w:p>
    <w:p w:rsidR="008711D3" w:rsidRPr="008711D3" w:rsidRDefault="008711D3" w:rsidP="008711D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1D3">
        <w:rPr>
          <w:rFonts w:ascii="Times New Roman" w:hAnsi="Times New Roman" w:cs="Times New Roman"/>
          <w:sz w:val="24"/>
          <w:szCs w:val="24"/>
        </w:rPr>
        <w:t>дорогой по ул</w:t>
      </w:r>
      <w:proofErr w:type="gramStart"/>
      <w:r w:rsidRPr="008711D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711D3">
        <w:rPr>
          <w:rFonts w:ascii="Times New Roman" w:hAnsi="Times New Roman" w:cs="Times New Roman"/>
          <w:sz w:val="24"/>
          <w:szCs w:val="24"/>
        </w:rPr>
        <w:t xml:space="preserve">жная, </w:t>
      </w:r>
    </w:p>
    <w:p w:rsidR="008711D3" w:rsidRPr="008711D3" w:rsidRDefault="008711D3" w:rsidP="008711D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1D3">
        <w:rPr>
          <w:rFonts w:ascii="Times New Roman" w:hAnsi="Times New Roman" w:cs="Times New Roman"/>
          <w:sz w:val="24"/>
          <w:szCs w:val="24"/>
        </w:rPr>
        <w:t>линией электропередач 6кВ вдоль ул</w:t>
      </w:r>
      <w:proofErr w:type="gramStart"/>
      <w:r w:rsidRPr="008711D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711D3">
        <w:rPr>
          <w:rFonts w:ascii="Times New Roman" w:hAnsi="Times New Roman" w:cs="Times New Roman"/>
          <w:sz w:val="24"/>
          <w:szCs w:val="24"/>
        </w:rPr>
        <w:t>жная, с установленной охранной зоной;</w:t>
      </w:r>
    </w:p>
    <w:p w:rsidR="008711D3" w:rsidRPr="008711D3" w:rsidRDefault="008711D3" w:rsidP="008711D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1D3">
        <w:rPr>
          <w:rFonts w:ascii="Times New Roman" w:hAnsi="Times New Roman" w:cs="Times New Roman"/>
          <w:sz w:val="24"/>
          <w:szCs w:val="24"/>
        </w:rPr>
        <w:t>линией электропередач 110кВ, с установленной охранной зоной;</w:t>
      </w:r>
    </w:p>
    <w:p w:rsidR="008711D3" w:rsidRPr="008711D3" w:rsidRDefault="008711D3" w:rsidP="008711D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1D3">
        <w:rPr>
          <w:rFonts w:ascii="Times New Roman" w:hAnsi="Times New Roman" w:cs="Times New Roman"/>
          <w:sz w:val="24"/>
          <w:szCs w:val="24"/>
        </w:rPr>
        <w:t>с восточной стороны водным объектом, с устанавливаемой водоохраной зоной;</w:t>
      </w:r>
    </w:p>
    <w:p w:rsidR="008711D3" w:rsidRPr="008711D3" w:rsidRDefault="008711D3" w:rsidP="008711D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1D3">
        <w:rPr>
          <w:rFonts w:ascii="Times New Roman" w:hAnsi="Times New Roman" w:cs="Times New Roman"/>
          <w:sz w:val="24"/>
          <w:szCs w:val="24"/>
        </w:rPr>
        <w:t>с западной стороны въездом на территорию ДНТ «Северянка»;</w:t>
      </w:r>
    </w:p>
    <w:p w:rsidR="008711D3" w:rsidRPr="008711D3" w:rsidRDefault="008711D3" w:rsidP="008711D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1D3">
        <w:rPr>
          <w:rFonts w:ascii="Times New Roman" w:hAnsi="Times New Roman" w:cs="Times New Roman"/>
          <w:sz w:val="24"/>
          <w:szCs w:val="24"/>
        </w:rPr>
        <w:t>вдоль ул</w:t>
      </w:r>
      <w:proofErr w:type="gramStart"/>
      <w:r w:rsidRPr="008711D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711D3">
        <w:rPr>
          <w:rFonts w:ascii="Times New Roman" w:hAnsi="Times New Roman" w:cs="Times New Roman"/>
          <w:sz w:val="24"/>
          <w:szCs w:val="24"/>
        </w:rPr>
        <w:t>жная установлена красная линия.</w:t>
      </w:r>
    </w:p>
    <w:p w:rsidR="008711D3" w:rsidRPr="008711D3" w:rsidRDefault="008711D3" w:rsidP="008711D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1D3">
        <w:rPr>
          <w:rFonts w:ascii="Times New Roman" w:hAnsi="Times New Roman" w:cs="Times New Roman"/>
          <w:sz w:val="24"/>
          <w:szCs w:val="24"/>
        </w:rPr>
        <w:t>В соответствии с картой градостроительного зонирования Правил, рассматриваемая территория расположена в зоне Т</w:t>
      </w:r>
      <w:proofErr w:type="gramStart"/>
      <w:r w:rsidRPr="008711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711D3">
        <w:rPr>
          <w:rFonts w:ascii="Times New Roman" w:hAnsi="Times New Roman" w:cs="Times New Roman"/>
          <w:sz w:val="24"/>
          <w:szCs w:val="24"/>
        </w:rPr>
        <w:t xml:space="preserve"> «Зона  инженерной инфраструктуры».</w:t>
      </w:r>
    </w:p>
    <w:p w:rsidR="008711D3" w:rsidRDefault="008F7BB6" w:rsidP="008F7B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0" cy="5124450"/>
            <wp:effectExtent l="19050" t="0" r="0" b="0"/>
            <wp:docPr id="4" name="Рисунок 4" descr="\\SERVER\Work\ДОКУМЕНТЫ\11 Архитектура\Правила землепользования и застройки\2018\10-18 (чучаев пономарев бронских\ЧУЧАЕВ\схем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Work\ДОКУМЕНТЫ\11 Архитектура\Правила землепользования и застройки\2018\10-18 (чучаев пономарев бронских\ЧУЧАЕВ\схема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37" w:rsidRPr="008711D3" w:rsidRDefault="004C5737" w:rsidP="004C573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1D3">
        <w:rPr>
          <w:rFonts w:ascii="Times New Roman" w:hAnsi="Times New Roman" w:cs="Times New Roman"/>
          <w:sz w:val="24"/>
          <w:szCs w:val="24"/>
        </w:rPr>
        <w:t>Территориальная зона Т</w:t>
      </w:r>
      <w:proofErr w:type="gramStart"/>
      <w:r w:rsidRPr="008711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711D3">
        <w:rPr>
          <w:rFonts w:ascii="Times New Roman" w:hAnsi="Times New Roman" w:cs="Times New Roman"/>
          <w:sz w:val="24"/>
          <w:szCs w:val="24"/>
        </w:rPr>
        <w:t xml:space="preserve"> граничит с зоной СХ2.</w:t>
      </w:r>
    </w:p>
    <w:p w:rsidR="004C5737" w:rsidRPr="008711D3" w:rsidRDefault="004C5737" w:rsidP="004C573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1D3">
        <w:rPr>
          <w:rFonts w:ascii="Times New Roman" w:hAnsi="Times New Roman" w:cs="Times New Roman"/>
          <w:sz w:val="24"/>
          <w:szCs w:val="24"/>
        </w:rPr>
        <w:t xml:space="preserve">Ранее по данной территории проходили две параллельные линии электропередач (ЛЭП), в соответствии с охранной зоной которых, в карте градостроительного зонирования Правил,  была сформирована инженерная зона. На данный момент действуют одна линия 110кВ, вторая ЛЭП демонтирована.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11D3">
        <w:rPr>
          <w:rFonts w:ascii="Times New Roman" w:hAnsi="Times New Roman" w:cs="Times New Roman"/>
          <w:sz w:val="24"/>
          <w:szCs w:val="24"/>
        </w:rPr>
        <w:t>ланов по размещению инженерных коммуникаций в данном районе нет.</w:t>
      </w:r>
    </w:p>
    <w:p w:rsidR="004C5737" w:rsidRPr="008711D3" w:rsidRDefault="004C5737" w:rsidP="004C573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1D3">
        <w:rPr>
          <w:rFonts w:ascii="Times New Roman" w:hAnsi="Times New Roman" w:cs="Times New Roman"/>
          <w:sz w:val="24"/>
          <w:szCs w:val="24"/>
        </w:rPr>
        <w:t xml:space="preserve">С учетом утвержденной красной линии, нормативной ширины улицы, площадь возможного для оформления участка ориентировочно составит 0,063га.  </w:t>
      </w:r>
    </w:p>
    <w:p w:rsidR="004C5737" w:rsidRPr="008711D3" w:rsidRDefault="004C5737" w:rsidP="004C573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1D3">
        <w:rPr>
          <w:rFonts w:ascii="Times New Roman" w:hAnsi="Times New Roman" w:cs="Times New Roman"/>
          <w:sz w:val="24"/>
          <w:szCs w:val="24"/>
        </w:rPr>
        <w:t>Предельный  минимальный параметр для земельного участка, в соответствии с регламентами Правил, составляет 0,04га для участков под  индивидуальное жилищное строительство.</w:t>
      </w:r>
    </w:p>
    <w:p w:rsidR="004C5737" w:rsidRDefault="004C5737" w:rsidP="008F7BB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96732" w:rsidRPr="00625D68" w:rsidRDefault="00896732" w:rsidP="00896732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jc w:val="both"/>
      </w:pPr>
      <w:r>
        <w:t xml:space="preserve">Часть территориальной зоны  Р1 «Зона городских парков, спортивных комплексов и сооружений»  считать территориальной зоной Ж3 «Зона малоэтажной жилой застройки» (район районе домов №4а, 4б по </w:t>
      </w:r>
      <w:proofErr w:type="spellStart"/>
      <w:proofErr w:type="gramStart"/>
      <w:r>
        <w:t>ул</w:t>
      </w:r>
      <w:proofErr w:type="spellEnd"/>
      <w:proofErr w:type="gramEnd"/>
      <w:r>
        <w:t xml:space="preserve"> Пионеров).</w:t>
      </w:r>
    </w:p>
    <w:p w:rsidR="00B148BA" w:rsidRDefault="00896732" w:rsidP="0089673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32">
        <w:rPr>
          <w:rFonts w:ascii="Times New Roman" w:hAnsi="Times New Roman" w:cs="Times New Roman"/>
          <w:sz w:val="24"/>
          <w:szCs w:val="24"/>
        </w:rPr>
        <w:t>Изменения предложены по заявлени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896732">
        <w:rPr>
          <w:rFonts w:ascii="Times New Roman" w:hAnsi="Times New Roman" w:cs="Times New Roman"/>
          <w:sz w:val="24"/>
          <w:szCs w:val="24"/>
        </w:rPr>
        <w:t xml:space="preserve"> заинтересованн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96732">
        <w:rPr>
          <w:rFonts w:ascii="Times New Roman" w:hAnsi="Times New Roman" w:cs="Times New Roman"/>
          <w:sz w:val="24"/>
          <w:szCs w:val="24"/>
        </w:rPr>
        <w:t xml:space="preserve"> лиц для возможности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896732">
        <w:rPr>
          <w:rFonts w:ascii="Times New Roman" w:hAnsi="Times New Roman" w:cs="Times New Roman"/>
          <w:sz w:val="24"/>
          <w:szCs w:val="24"/>
        </w:rPr>
        <w:t>формирования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96732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148BA">
        <w:rPr>
          <w:rFonts w:ascii="Times New Roman" w:hAnsi="Times New Roman" w:cs="Times New Roman"/>
          <w:sz w:val="24"/>
          <w:szCs w:val="24"/>
        </w:rPr>
        <w:t>.</w:t>
      </w:r>
    </w:p>
    <w:p w:rsidR="00B148BA" w:rsidRPr="00B148BA" w:rsidRDefault="00B148BA" w:rsidP="00B148B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BA">
        <w:rPr>
          <w:rFonts w:ascii="Times New Roman" w:hAnsi="Times New Roman" w:cs="Times New Roman"/>
          <w:sz w:val="24"/>
          <w:szCs w:val="24"/>
        </w:rPr>
        <w:t>Рассматриваемая территория расположена:</w:t>
      </w:r>
    </w:p>
    <w:p w:rsidR="00B148BA" w:rsidRPr="00B148BA" w:rsidRDefault="00B148BA" w:rsidP="00B148BA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8BA">
        <w:rPr>
          <w:rFonts w:ascii="Times New Roman" w:hAnsi="Times New Roman" w:cs="Times New Roman"/>
          <w:sz w:val="24"/>
          <w:szCs w:val="24"/>
        </w:rPr>
        <w:t xml:space="preserve">В районе домов №4а, 4б по </w:t>
      </w:r>
      <w:proofErr w:type="spellStart"/>
      <w:proofErr w:type="gramStart"/>
      <w:r w:rsidRPr="00B148B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B148BA">
        <w:rPr>
          <w:rFonts w:ascii="Times New Roman" w:hAnsi="Times New Roman" w:cs="Times New Roman"/>
          <w:sz w:val="24"/>
          <w:szCs w:val="24"/>
        </w:rPr>
        <w:t xml:space="preserve"> Пионеров.</w:t>
      </w:r>
    </w:p>
    <w:p w:rsidR="00B148BA" w:rsidRPr="00B148BA" w:rsidRDefault="00B148BA" w:rsidP="00B148BA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8BA">
        <w:rPr>
          <w:rFonts w:ascii="Times New Roman" w:hAnsi="Times New Roman" w:cs="Times New Roman"/>
          <w:sz w:val="24"/>
          <w:szCs w:val="24"/>
        </w:rPr>
        <w:t>В территориальной зоне Р</w:t>
      </w:r>
      <w:proofErr w:type="gramStart"/>
      <w:r w:rsidRPr="00B14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148BA">
        <w:rPr>
          <w:rFonts w:ascii="Times New Roman" w:hAnsi="Times New Roman" w:cs="Times New Roman"/>
          <w:sz w:val="24"/>
          <w:szCs w:val="24"/>
        </w:rPr>
        <w:t xml:space="preserve"> «Зона городских парков, спортивных комплексов и сооружений»</w:t>
      </w:r>
    </w:p>
    <w:p w:rsidR="00B148BA" w:rsidRPr="00B148BA" w:rsidRDefault="00B148BA" w:rsidP="00B148BA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8BA">
        <w:rPr>
          <w:rFonts w:ascii="Times New Roman" w:hAnsi="Times New Roman" w:cs="Times New Roman"/>
          <w:sz w:val="24"/>
          <w:szCs w:val="24"/>
        </w:rPr>
        <w:t>На участке с резким изменением рельефа</w:t>
      </w:r>
    </w:p>
    <w:p w:rsidR="00896732" w:rsidRPr="00896732" w:rsidRDefault="00896732" w:rsidP="00B148B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0" cy="5124450"/>
            <wp:effectExtent l="19050" t="0" r="0" b="0"/>
            <wp:docPr id="5" name="Рисунок 5" descr="\\SERVER\Work\ДОКУМЕНТЫ\11 Архитектура\Правила землепользования и застройки\2018\10-18 (чучаев пономарев бронских\пономарев\схема д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Work\ДОКУМЕНТЫ\11 Архитектура\Правила землепользования и застройки\2018\10-18 (чучаев пономарев бронских\пономарев\схема д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732">
        <w:rPr>
          <w:rFonts w:ascii="Times New Roman" w:hAnsi="Times New Roman" w:cs="Times New Roman"/>
          <w:sz w:val="24"/>
          <w:szCs w:val="24"/>
        </w:rPr>
        <w:t>.</w:t>
      </w:r>
    </w:p>
    <w:p w:rsidR="004A4C34" w:rsidRPr="004A4C34" w:rsidRDefault="004A4C34" w:rsidP="004A4C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A4C3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A4C34">
        <w:rPr>
          <w:rFonts w:ascii="Times New Roman" w:hAnsi="Times New Roman" w:cs="Times New Roman"/>
          <w:sz w:val="24"/>
          <w:szCs w:val="24"/>
        </w:rPr>
        <w:t>следствии</w:t>
      </w:r>
      <w:proofErr w:type="gramEnd"/>
      <w:r w:rsidRPr="004A4C34">
        <w:rPr>
          <w:rFonts w:ascii="Times New Roman" w:hAnsi="Times New Roman" w:cs="Times New Roman"/>
          <w:sz w:val="24"/>
          <w:szCs w:val="24"/>
        </w:rPr>
        <w:t xml:space="preserve"> резкого изменения рельефа доступ к рассматриваемой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для иных объектов</w:t>
      </w:r>
      <w:r w:rsidRPr="004A4C34">
        <w:rPr>
          <w:rFonts w:ascii="Times New Roman" w:hAnsi="Times New Roman" w:cs="Times New Roman"/>
          <w:sz w:val="24"/>
          <w:szCs w:val="24"/>
        </w:rPr>
        <w:t xml:space="preserve"> со стороны застройки невозможен.</w:t>
      </w:r>
    </w:p>
    <w:p w:rsidR="004A4C34" w:rsidRPr="004A4C34" w:rsidRDefault="004A4C34" w:rsidP="004A4C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A4C34">
        <w:rPr>
          <w:rFonts w:ascii="Times New Roman" w:hAnsi="Times New Roman" w:cs="Times New Roman"/>
          <w:sz w:val="24"/>
          <w:szCs w:val="24"/>
        </w:rPr>
        <w:t>Размещение объектов, предусмотренных для размещения в территориальной зоне Р</w:t>
      </w:r>
      <w:proofErr w:type="gramStart"/>
      <w:r w:rsidRPr="004A4C3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A4C34">
        <w:rPr>
          <w:rFonts w:ascii="Times New Roman" w:hAnsi="Times New Roman" w:cs="Times New Roman"/>
          <w:sz w:val="24"/>
          <w:szCs w:val="24"/>
        </w:rPr>
        <w:t xml:space="preserve"> «Зона городских парков, спортивных комплексов и сооружений»,  при учете рельефа местности, невозможен.</w:t>
      </w:r>
    </w:p>
    <w:p w:rsidR="008F7BB6" w:rsidRPr="00916AAE" w:rsidRDefault="004A4C34" w:rsidP="004A4C3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A4C34">
        <w:rPr>
          <w:rFonts w:ascii="Times New Roman" w:hAnsi="Times New Roman" w:cs="Times New Roman"/>
          <w:sz w:val="24"/>
          <w:szCs w:val="24"/>
        </w:rPr>
        <w:t xml:space="preserve">Генеральным планом размещение каких-либо объектов на данной территории не предусмотрено. </w:t>
      </w:r>
    </w:p>
    <w:sectPr w:rsidR="008F7BB6" w:rsidRPr="00916AAE" w:rsidSect="00E81C34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0B"/>
    <w:multiLevelType w:val="hybridMultilevel"/>
    <w:tmpl w:val="9B34BAF0"/>
    <w:lvl w:ilvl="0" w:tplc="94809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8E7"/>
    <w:multiLevelType w:val="hybridMultilevel"/>
    <w:tmpl w:val="2E1096F4"/>
    <w:lvl w:ilvl="0" w:tplc="4E4288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FF6091"/>
    <w:multiLevelType w:val="hybridMultilevel"/>
    <w:tmpl w:val="F3442A42"/>
    <w:lvl w:ilvl="0" w:tplc="E5688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752B3F"/>
    <w:multiLevelType w:val="hybridMultilevel"/>
    <w:tmpl w:val="A8A2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44B3"/>
    <w:multiLevelType w:val="hybridMultilevel"/>
    <w:tmpl w:val="9D6A9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A2226"/>
    <w:multiLevelType w:val="hybridMultilevel"/>
    <w:tmpl w:val="F3442A42"/>
    <w:lvl w:ilvl="0" w:tplc="E5688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101E22"/>
    <w:multiLevelType w:val="hybridMultilevel"/>
    <w:tmpl w:val="49FE0976"/>
    <w:lvl w:ilvl="0" w:tplc="B00E8FCE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96316D"/>
    <w:multiLevelType w:val="hybridMultilevel"/>
    <w:tmpl w:val="F3442A42"/>
    <w:lvl w:ilvl="0" w:tplc="E5688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484766"/>
    <w:multiLevelType w:val="hybridMultilevel"/>
    <w:tmpl w:val="9B34BAF0"/>
    <w:lvl w:ilvl="0" w:tplc="94809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5029"/>
    <w:multiLevelType w:val="hybridMultilevel"/>
    <w:tmpl w:val="F0E28E7A"/>
    <w:lvl w:ilvl="0" w:tplc="933CEC42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16A72A7"/>
    <w:multiLevelType w:val="hybridMultilevel"/>
    <w:tmpl w:val="8400911C"/>
    <w:lvl w:ilvl="0" w:tplc="933CEC42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34"/>
    <w:rsid w:val="00001436"/>
    <w:rsid w:val="000023AB"/>
    <w:rsid w:val="00002985"/>
    <w:rsid w:val="00005103"/>
    <w:rsid w:val="00005B9B"/>
    <w:rsid w:val="000077D5"/>
    <w:rsid w:val="00007D09"/>
    <w:rsid w:val="00010C78"/>
    <w:rsid w:val="00010FBF"/>
    <w:rsid w:val="00011FC2"/>
    <w:rsid w:val="00013DC0"/>
    <w:rsid w:val="00016C90"/>
    <w:rsid w:val="000172E7"/>
    <w:rsid w:val="000176F3"/>
    <w:rsid w:val="00017B22"/>
    <w:rsid w:val="000215D3"/>
    <w:rsid w:val="00021C20"/>
    <w:rsid w:val="00021F40"/>
    <w:rsid w:val="0002232D"/>
    <w:rsid w:val="0002388C"/>
    <w:rsid w:val="00024B71"/>
    <w:rsid w:val="000274EA"/>
    <w:rsid w:val="00027523"/>
    <w:rsid w:val="00030FB8"/>
    <w:rsid w:val="00031D0F"/>
    <w:rsid w:val="0003279B"/>
    <w:rsid w:val="00033B24"/>
    <w:rsid w:val="00034B4C"/>
    <w:rsid w:val="0003717B"/>
    <w:rsid w:val="00037305"/>
    <w:rsid w:val="00040044"/>
    <w:rsid w:val="00040F3A"/>
    <w:rsid w:val="00042307"/>
    <w:rsid w:val="00043017"/>
    <w:rsid w:val="00043224"/>
    <w:rsid w:val="000447E5"/>
    <w:rsid w:val="00044DEB"/>
    <w:rsid w:val="00046198"/>
    <w:rsid w:val="00050354"/>
    <w:rsid w:val="00051797"/>
    <w:rsid w:val="00051C64"/>
    <w:rsid w:val="00051D10"/>
    <w:rsid w:val="0005556D"/>
    <w:rsid w:val="000568C8"/>
    <w:rsid w:val="0005726D"/>
    <w:rsid w:val="00060247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0C39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4044"/>
    <w:rsid w:val="000A4ADA"/>
    <w:rsid w:val="000A5C41"/>
    <w:rsid w:val="000B0B34"/>
    <w:rsid w:val="000B0D16"/>
    <w:rsid w:val="000B38FF"/>
    <w:rsid w:val="000B3B11"/>
    <w:rsid w:val="000B435A"/>
    <w:rsid w:val="000B63A5"/>
    <w:rsid w:val="000B66E8"/>
    <w:rsid w:val="000B6DD6"/>
    <w:rsid w:val="000C1631"/>
    <w:rsid w:val="000C210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6CB"/>
    <w:rsid w:val="000D4DAE"/>
    <w:rsid w:val="000D4EF3"/>
    <w:rsid w:val="000D5F2F"/>
    <w:rsid w:val="000D6875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96"/>
    <w:rsid w:val="000F19DC"/>
    <w:rsid w:val="000F26F4"/>
    <w:rsid w:val="000F2794"/>
    <w:rsid w:val="000F3387"/>
    <w:rsid w:val="000F489F"/>
    <w:rsid w:val="000F4C87"/>
    <w:rsid w:val="000F4F12"/>
    <w:rsid w:val="000F58D3"/>
    <w:rsid w:val="000F6F40"/>
    <w:rsid w:val="000F7193"/>
    <w:rsid w:val="0010223A"/>
    <w:rsid w:val="00106363"/>
    <w:rsid w:val="00110FF3"/>
    <w:rsid w:val="00111DD4"/>
    <w:rsid w:val="00112231"/>
    <w:rsid w:val="001145ED"/>
    <w:rsid w:val="00114D54"/>
    <w:rsid w:val="00115A6E"/>
    <w:rsid w:val="00116B5D"/>
    <w:rsid w:val="00117275"/>
    <w:rsid w:val="00121861"/>
    <w:rsid w:val="00121DF6"/>
    <w:rsid w:val="00121F6B"/>
    <w:rsid w:val="00122E6D"/>
    <w:rsid w:val="001233DD"/>
    <w:rsid w:val="0012458A"/>
    <w:rsid w:val="00124B4E"/>
    <w:rsid w:val="00126432"/>
    <w:rsid w:val="0012660C"/>
    <w:rsid w:val="00127E15"/>
    <w:rsid w:val="00130194"/>
    <w:rsid w:val="00130A3E"/>
    <w:rsid w:val="00131C2B"/>
    <w:rsid w:val="00132B72"/>
    <w:rsid w:val="00133177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495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67613"/>
    <w:rsid w:val="001702CA"/>
    <w:rsid w:val="00170FC5"/>
    <w:rsid w:val="00171090"/>
    <w:rsid w:val="00172D3B"/>
    <w:rsid w:val="001742C4"/>
    <w:rsid w:val="00175B44"/>
    <w:rsid w:val="00176BDE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966FB"/>
    <w:rsid w:val="001A038F"/>
    <w:rsid w:val="001A0C21"/>
    <w:rsid w:val="001A0C47"/>
    <w:rsid w:val="001A0D88"/>
    <w:rsid w:val="001A105D"/>
    <w:rsid w:val="001A11B9"/>
    <w:rsid w:val="001A1455"/>
    <w:rsid w:val="001A5C38"/>
    <w:rsid w:val="001A790C"/>
    <w:rsid w:val="001B0C54"/>
    <w:rsid w:val="001B12F8"/>
    <w:rsid w:val="001B295E"/>
    <w:rsid w:val="001B2C8F"/>
    <w:rsid w:val="001B372D"/>
    <w:rsid w:val="001B4235"/>
    <w:rsid w:val="001B4E85"/>
    <w:rsid w:val="001B514D"/>
    <w:rsid w:val="001B5CE5"/>
    <w:rsid w:val="001B74B2"/>
    <w:rsid w:val="001C047F"/>
    <w:rsid w:val="001C177B"/>
    <w:rsid w:val="001C2696"/>
    <w:rsid w:val="001C3A84"/>
    <w:rsid w:val="001C3FCD"/>
    <w:rsid w:val="001C650F"/>
    <w:rsid w:val="001C73CA"/>
    <w:rsid w:val="001C7AD7"/>
    <w:rsid w:val="001C7AD9"/>
    <w:rsid w:val="001D0467"/>
    <w:rsid w:val="001D10D2"/>
    <w:rsid w:val="001D19F4"/>
    <w:rsid w:val="001D1BF7"/>
    <w:rsid w:val="001D27B0"/>
    <w:rsid w:val="001D30F9"/>
    <w:rsid w:val="001D3C48"/>
    <w:rsid w:val="001D4F0C"/>
    <w:rsid w:val="001D57A3"/>
    <w:rsid w:val="001D71FC"/>
    <w:rsid w:val="001E10EE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6145"/>
    <w:rsid w:val="001F6665"/>
    <w:rsid w:val="001F7D3D"/>
    <w:rsid w:val="001F7F94"/>
    <w:rsid w:val="0020010E"/>
    <w:rsid w:val="002007DC"/>
    <w:rsid w:val="00201604"/>
    <w:rsid w:val="002016FA"/>
    <w:rsid w:val="00201B9F"/>
    <w:rsid w:val="0020202E"/>
    <w:rsid w:val="0020327C"/>
    <w:rsid w:val="00203D08"/>
    <w:rsid w:val="002043E4"/>
    <w:rsid w:val="00204645"/>
    <w:rsid w:val="00204ABD"/>
    <w:rsid w:val="00204DF4"/>
    <w:rsid w:val="00205B4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4AA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36A7B"/>
    <w:rsid w:val="00240620"/>
    <w:rsid w:val="00240933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99B"/>
    <w:rsid w:val="002739E0"/>
    <w:rsid w:val="0027561C"/>
    <w:rsid w:val="00276CE8"/>
    <w:rsid w:val="00277906"/>
    <w:rsid w:val="00281509"/>
    <w:rsid w:val="00282551"/>
    <w:rsid w:val="00282636"/>
    <w:rsid w:val="002826B3"/>
    <w:rsid w:val="00282932"/>
    <w:rsid w:val="002839EC"/>
    <w:rsid w:val="002841AA"/>
    <w:rsid w:val="00284D66"/>
    <w:rsid w:val="00285CFC"/>
    <w:rsid w:val="002868BB"/>
    <w:rsid w:val="0028711A"/>
    <w:rsid w:val="0029047E"/>
    <w:rsid w:val="00290559"/>
    <w:rsid w:val="0029130E"/>
    <w:rsid w:val="00292BD8"/>
    <w:rsid w:val="00292F7A"/>
    <w:rsid w:val="00293290"/>
    <w:rsid w:val="002940DE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6EAE"/>
    <w:rsid w:val="002A7C9F"/>
    <w:rsid w:val="002A7FA9"/>
    <w:rsid w:val="002A7FEF"/>
    <w:rsid w:val="002B10BA"/>
    <w:rsid w:val="002B24F1"/>
    <w:rsid w:val="002B78E9"/>
    <w:rsid w:val="002B7A6F"/>
    <w:rsid w:val="002C052C"/>
    <w:rsid w:val="002C1EAE"/>
    <w:rsid w:val="002C33D8"/>
    <w:rsid w:val="002C6592"/>
    <w:rsid w:val="002D00CD"/>
    <w:rsid w:val="002D1080"/>
    <w:rsid w:val="002D2FBA"/>
    <w:rsid w:val="002D3600"/>
    <w:rsid w:val="002D4114"/>
    <w:rsid w:val="002D436E"/>
    <w:rsid w:val="002D6BB8"/>
    <w:rsid w:val="002D6E1E"/>
    <w:rsid w:val="002D74CA"/>
    <w:rsid w:val="002D7AE8"/>
    <w:rsid w:val="002D7B21"/>
    <w:rsid w:val="002D7F0E"/>
    <w:rsid w:val="002E0138"/>
    <w:rsid w:val="002E014E"/>
    <w:rsid w:val="002E11C8"/>
    <w:rsid w:val="002E1ADE"/>
    <w:rsid w:val="002E1E47"/>
    <w:rsid w:val="002E235C"/>
    <w:rsid w:val="002E2FF5"/>
    <w:rsid w:val="002E30D8"/>
    <w:rsid w:val="002E42C6"/>
    <w:rsid w:val="002E46FE"/>
    <w:rsid w:val="002E4BE2"/>
    <w:rsid w:val="002E4D66"/>
    <w:rsid w:val="002E5560"/>
    <w:rsid w:val="002E563F"/>
    <w:rsid w:val="002E6C3F"/>
    <w:rsid w:val="002E7B3C"/>
    <w:rsid w:val="002F08D4"/>
    <w:rsid w:val="002F12A0"/>
    <w:rsid w:val="002F1E61"/>
    <w:rsid w:val="002F22FF"/>
    <w:rsid w:val="002F4259"/>
    <w:rsid w:val="002F4D14"/>
    <w:rsid w:val="002F7CF9"/>
    <w:rsid w:val="003003C1"/>
    <w:rsid w:val="003005AC"/>
    <w:rsid w:val="0030140A"/>
    <w:rsid w:val="00303588"/>
    <w:rsid w:val="00303DAD"/>
    <w:rsid w:val="003073F4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1792B"/>
    <w:rsid w:val="0032051F"/>
    <w:rsid w:val="00320B80"/>
    <w:rsid w:val="003211A1"/>
    <w:rsid w:val="003223FE"/>
    <w:rsid w:val="00323D5C"/>
    <w:rsid w:val="00324B06"/>
    <w:rsid w:val="00325227"/>
    <w:rsid w:val="003259BD"/>
    <w:rsid w:val="003276B7"/>
    <w:rsid w:val="00330223"/>
    <w:rsid w:val="00330D34"/>
    <w:rsid w:val="003325B2"/>
    <w:rsid w:val="00335332"/>
    <w:rsid w:val="00337378"/>
    <w:rsid w:val="00337481"/>
    <w:rsid w:val="00340009"/>
    <w:rsid w:val="00341478"/>
    <w:rsid w:val="00342C51"/>
    <w:rsid w:val="00343A4A"/>
    <w:rsid w:val="0034689C"/>
    <w:rsid w:val="003468CA"/>
    <w:rsid w:val="00347BFB"/>
    <w:rsid w:val="00347C00"/>
    <w:rsid w:val="00347FC0"/>
    <w:rsid w:val="003504E0"/>
    <w:rsid w:val="003509EB"/>
    <w:rsid w:val="00350A44"/>
    <w:rsid w:val="003510F6"/>
    <w:rsid w:val="00351BCE"/>
    <w:rsid w:val="00353FF5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97E"/>
    <w:rsid w:val="00370DDF"/>
    <w:rsid w:val="003717D5"/>
    <w:rsid w:val="00371D69"/>
    <w:rsid w:val="00372F11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25D"/>
    <w:rsid w:val="00383634"/>
    <w:rsid w:val="00383FB2"/>
    <w:rsid w:val="003856C5"/>
    <w:rsid w:val="00386F22"/>
    <w:rsid w:val="00386F39"/>
    <w:rsid w:val="00390EE2"/>
    <w:rsid w:val="00392FA1"/>
    <w:rsid w:val="00393B47"/>
    <w:rsid w:val="00394B12"/>
    <w:rsid w:val="00395DCD"/>
    <w:rsid w:val="0039720C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3271"/>
    <w:rsid w:val="003C493A"/>
    <w:rsid w:val="003C4B7E"/>
    <w:rsid w:val="003C5592"/>
    <w:rsid w:val="003C749C"/>
    <w:rsid w:val="003C7E28"/>
    <w:rsid w:val="003D0125"/>
    <w:rsid w:val="003D17A9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06AB"/>
    <w:rsid w:val="003F1128"/>
    <w:rsid w:val="003F1F5F"/>
    <w:rsid w:val="003F27BB"/>
    <w:rsid w:val="003F288C"/>
    <w:rsid w:val="003F3885"/>
    <w:rsid w:val="003F3D6C"/>
    <w:rsid w:val="003F3F1B"/>
    <w:rsid w:val="003F4463"/>
    <w:rsid w:val="003F4852"/>
    <w:rsid w:val="003F589B"/>
    <w:rsid w:val="003F5E5D"/>
    <w:rsid w:val="003F72CC"/>
    <w:rsid w:val="00400909"/>
    <w:rsid w:val="00400FA9"/>
    <w:rsid w:val="0040295B"/>
    <w:rsid w:val="00402A09"/>
    <w:rsid w:val="00403059"/>
    <w:rsid w:val="00403C92"/>
    <w:rsid w:val="00405588"/>
    <w:rsid w:val="00405C37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31A1"/>
    <w:rsid w:val="00424338"/>
    <w:rsid w:val="00425094"/>
    <w:rsid w:val="004254A2"/>
    <w:rsid w:val="00425B58"/>
    <w:rsid w:val="00425B9F"/>
    <w:rsid w:val="00425C52"/>
    <w:rsid w:val="00430C06"/>
    <w:rsid w:val="00431532"/>
    <w:rsid w:val="0043278B"/>
    <w:rsid w:val="0043294B"/>
    <w:rsid w:val="0043296A"/>
    <w:rsid w:val="00432EED"/>
    <w:rsid w:val="0043391A"/>
    <w:rsid w:val="004367CB"/>
    <w:rsid w:val="00437A18"/>
    <w:rsid w:val="004404B6"/>
    <w:rsid w:val="004410EB"/>
    <w:rsid w:val="00441182"/>
    <w:rsid w:val="00441258"/>
    <w:rsid w:val="004414BA"/>
    <w:rsid w:val="00442003"/>
    <w:rsid w:val="00442079"/>
    <w:rsid w:val="00442DDC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571"/>
    <w:rsid w:val="00456169"/>
    <w:rsid w:val="00456BB1"/>
    <w:rsid w:val="00457FC4"/>
    <w:rsid w:val="004608AD"/>
    <w:rsid w:val="0046095D"/>
    <w:rsid w:val="00460CBF"/>
    <w:rsid w:val="00461B66"/>
    <w:rsid w:val="00461CE4"/>
    <w:rsid w:val="00463D6F"/>
    <w:rsid w:val="004656A1"/>
    <w:rsid w:val="00465D2A"/>
    <w:rsid w:val="004660E0"/>
    <w:rsid w:val="00470C7E"/>
    <w:rsid w:val="0047122E"/>
    <w:rsid w:val="004715A6"/>
    <w:rsid w:val="00472A88"/>
    <w:rsid w:val="00473775"/>
    <w:rsid w:val="00473E5A"/>
    <w:rsid w:val="00473F1C"/>
    <w:rsid w:val="004767DA"/>
    <w:rsid w:val="004770DA"/>
    <w:rsid w:val="004801CC"/>
    <w:rsid w:val="004814E4"/>
    <w:rsid w:val="00481A3D"/>
    <w:rsid w:val="00482442"/>
    <w:rsid w:val="00482C08"/>
    <w:rsid w:val="004831FC"/>
    <w:rsid w:val="004832FB"/>
    <w:rsid w:val="00483D3B"/>
    <w:rsid w:val="00484AF0"/>
    <w:rsid w:val="0048630B"/>
    <w:rsid w:val="00487A4C"/>
    <w:rsid w:val="00487EE1"/>
    <w:rsid w:val="004904D6"/>
    <w:rsid w:val="00490C77"/>
    <w:rsid w:val="00491F92"/>
    <w:rsid w:val="004922BC"/>
    <w:rsid w:val="00492F4A"/>
    <w:rsid w:val="00493178"/>
    <w:rsid w:val="00494249"/>
    <w:rsid w:val="00494C45"/>
    <w:rsid w:val="0049512E"/>
    <w:rsid w:val="00495C60"/>
    <w:rsid w:val="00495EEA"/>
    <w:rsid w:val="004A03EC"/>
    <w:rsid w:val="004A10D4"/>
    <w:rsid w:val="004A14BA"/>
    <w:rsid w:val="004A3842"/>
    <w:rsid w:val="004A4C34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5737"/>
    <w:rsid w:val="004C6593"/>
    <w:rsid w:val="004C6D42"/>
    <w:rsid w:val="004C74A2"/>
    <w:rsid w:val="004D07D2"/>
    <w:rsid w:val="004D12EC"/>
    <w:rsid w:val="004D1816"/>
    <w:rsid w:val="004D185A"/>
    <w:rsid w:val="004D40AD"/>
    <w:rsid w:val="004D44C8"/>
    <w:rsid w:val="004D5198"/>
    <w:rsid w:val="004D5E5B"/>
    <w:rsid w:val="004D680B"/>
    <w:rsid w:val="004D68B0"/>
    <w:rsid w:val="004D6E3D"/>
    <w:rsid w:val="004D6EC4"/>
    <w:rsid w:val="004E04F3"/>
    <w:rsid w:val="004E0748"/>
    <w:rsid w:val="004E0AFE"/>
    <w:rsid w:val="004E0DB9"/>
    <w:rsid w:val="004E1415"/>
    <w:rsid w:val="004E1822"/>
    <w:rsid w:val="004E3F1F"/>
    <w:rsid w:val="004E53D0"/>
    <w:rsid w:val="004F0E70"/>
    <w:rsid w:val="004F0EEF"/>
    <w:rsid w:val="004F2A8C"/>
    <w:rsid w:val="004F38D7"/>
    <w:rsid w:val="004F4669"/>
    <w:rsid w:val="004F4C9A"/>
    <w:rsid w:val="005000F1"/>
    <w:rsid w:val="00500768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4BE0"/>
    <w:rsid w:val="00525564"/>
    <w:rsid w:val="0053196C"/>
    <w:rsid w:val="005319A7"/>
    <w:rsid w:val="005322C6"/>
    <w:rsid w:val="0053642D"/>
    <w:rsid w:val="005367B5"/>
    <w:rsid w:val="00536C08"/>
    <w:rsid w:val="005379E1"/>
    <w:rsid w:val="00540D71"/>
    <w:rsid w:val="0054171E"/>
    <w:rsid w:val="00541FED"/>
    <w:rsid w:val="005430FE"/>
    <w:rsid w:val="005433AF"/>
    <w:rsid w:val="00543635"/>
    <w:rsid w:val="0054756A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0C4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67B"/>
    <w:rsid w:val="0056589A"/>
    <w:rsid w:val="005660EC"/>
    <w:rsid w:val="005674FD"/>
    <w:rsid w:val="00571061"/>
    <w:rsid w:val="00571A35"/>
    <w:rsid w:val="00572E38"/>
    <w:rsid w:val="00573C3C"/>
    <w:rsid w:val="005757F6"/>
    <w:rsid w:val="005823F5"/>
    <w:rsid w:val="00584721"/>
    <w:rsid w:val="00584CC3"/>
    <w:rsid w:val="00586492"/>
    <w:rsid w:val="00587B60"/>
    <w:rsid w:val="0059095B"/>
    <w:rsid w:val="00597671"/>
    <w:rsid w:val="005A0F84"/>
    <w:rsid w:val="005A1F1B"/>
    <w:rsid w:val="005A21DB"/>
    <w:rsid w:val="005A2CD5"/>
    <w:rsid w:val="005A3C4F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8CB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09B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2BE6"/>
    <w:rsid w:val="005E3CF1"/>
    <w:rsid w:val="005E3D31"/>
    <w:rsid w:val="005E58FD"/>
    <w:rsid w:val="005E67AE"/>
    <w:rsid w:val="005E7826"/>
    <w:rsid w:val="005F09CB"/>
    <w:rsid w:val="005F0E70"/>
    <w:rsid w:val="005F1E1D"/>
    <w:rsid w:val="005F2432"/>
    <w:rsid w:val="005F4A15"/>
    <w:rsid w:val="005F4E47"/>
    <w:rsid w:val="005F5A65"/>
    <w:rsid w:val="005F771F"/>
    <w:rsid w:val="005F78FF"/>
    <w:rsid w:val="0060083C"/>
    <w:rsid w:val="00601AEC"/>
    <w:rsid w:val="00602160"/>
    <w:rsid w:val="006023B5"/>
    <w:rsid w:val="00603E5F"/>
    <w:rsid w:val="0060472E"/>
    <w:rsid w:val="006047F6"/>
    <w:rsid w:val="00605F60"/>
    <w:rsid w:val="00606B67"/>
    <w:rsid w:val="006070FF"/>
    <w:rsid w:val="006078A4"/>
    <w:rsid w:val="00610AA7"/>
    <w:rsid w:val="006112DC"/>
    <w:rsid w:val="00612988"/>
    <w:rsid w:val="00612ABA"/>
    <w:rsid w:val="00613F59"/>
    <w:rsid w:val="00614A47"/>
    <w:rsid w:val="00614C09"/>
    <w:rsid w:val="00615352"/>
    <w:rsid w:val="00616969"/>
    <w:rsid w:val="00620046"/>
    <w:rsid w:val="00622AD2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3EBA"/>
    <w:rsid w:val="00645F77"/>
    <w:rsid w:val="00646941"/>
    <w:rsid w:val="00646E5B"/>
    <w:rsid w:val="0065210A"/>
    <w:rsid w:val="006545B9"/>
    <w:rsid w:val="00654BCB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4AC"/>
    <w:rsid w:val="006649C7"/>
    <w:rsid w:val="006650DD"/>
    <w:rsid w:val="00665342"/>
    <w:rsid w:val="00665CEA"/>
    <w:rsid w:val="006665B3"/>
    <w:rsid w:val="00666AEF"/>
    <w:rsid w:val="006677E2"/>
    <w:rsid w:val="006702A1"/>
    <w:rsid w:val="00671B4C"/>
    <w:rsid w:val="00676875"/>
    <w:rsid w:val="006824D3"/>
    <w:rsid w:val="00683E3B"/>
    <w:rsid w:val="006842AB"/>
    <w:rsid w:val="00684F6C"/>
    <w:rsid w:val="00687E16"/>
    <w:rsid w:val="00690D0F"/>
    <w:rsid w:val="00691A15"/>
    <w:rsid w:val="00691E8C"/>
    <w:rsid w:val="00692A13"/>
    <w:rsid w:val="006934DE"/>
    <w:rsid w:val="00693728"/>
    <w:rsid w:val="00693BF4"/>
    <w:rsid w:val="00694C11"/>
    <w:rsid w:val="00694F7D"/>
    <w:rsid w:val="00696AA5"/>
    <w:rsid w:val="00697097"/>
    <w:rsid w:val="00697250"/>
    <w:rsid w:val="006A0168"/>
    <w:rsid w:val="006A16AE"/>
    <w:rsid w:val="006A35E0"/>
    <w:rsid w:val="006A3C6B"/>
    <w:rsid w:val="006A4BE1"/>
    <w:rsid w:val="006A5323"/>
    <w:rsid w:val="006A53B5"/>
    <w:rsid w:val="006A57F8"/>
    <w:rsid w:val="006A7347"/>
    <w:rsid w:val="006A7747"/>
    <w:rsid w:val="006B0C22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D07E1"/>
    <w:rsid w:val="006D07F3"/>
    <w:rsid w:val="006D0F25"/>
    <w:rsid w:val="006D132A"/>
    <w:rsid w:val="006D1349"/>
    <w:rsid w:val="006D1F93"/>
    <w:rsid w:val="006D2132"/>
    <w:rsid w:val="006D366F"/>
    <w:rsid w:val="006D3B2C"/>
    <w:rsid w:val="006D4F5F"/>
    <w:rsid w:val="006D51B5"/>
    <w:rsid w:val="006D5C95"/>
    <w:rsid w:val="006D6C03"/>
    <w:rsid w:val="006D6DBA"/>
    <w:rsid w:val="006E01C8"/>
    <w:rsid w:val="006E132E"/>
    <w:rsid w:val="006E30CE"/>
    <w:rsid w:val="006E3E2E"/>
    <w:rsid w:val="006E4262"/>
    <w:rsid w:val="006E54FD"/>
    <w:rsid w:val="006E5533"/>
    <w:rsid w:val="006E63FB"/>
    <w:rsid w:val="006E6FB4"/>
    <w:rsid w:val="006F1565"/>
    <w:rsid w:val="006F1EC0"/>
    <w:rsid w:val="006F2900"/>
    <w:rsid w:val="006F3D00"/>
    <w:rsid w:val="006F47A9"/>
    <w:rsid w:val="006F5527"/>
    <w:rsid w:val="00701533"/>
    <w:rsid w:val="0070258F"/>
    <w:rsid w:val="00702FC2"/>
    <w:rsid w:val="00703FEB"/>
    <w:rsid w:val="007047C0"/>
    <w:rsid w:val="00707244"/>
    <w:rsid w:val="0071025A"/>
    <w:rsid w:val="007118DD"/>
    <w:rsid w:val="0072071E"/>
    <w:rsid w:val="007229BA"/>
    <w:rsid w:val="007241B1"/>
    <w:rsid w:val="00725C14"/>
    <w:rsid w:val="007304D8"/>
    <w:rsid w:val="00731A5E"/>
    <w:rsid w:val="007326C9"/>
    <w:rsid w:val="0073357F"/>
    <w:rsid w:val="00733CD1"/>
    <w:rsid w:val="00733D12"/>
    <w:rsid w:val="00733D54"/>
    <w:rsid w:val="00733E31"/>
    <w:rsid w:val="0073463F"/>
    <w:rsid w:val="00735E96"/>
    <w:rsid w:val="00736E08"/>
    <w:rsid w:val="007370B8"/>
    <w:rsid w:val="007374A2"/>
    <w:rsid w:val="00741420"/>
    <w:rsid w:val="007414F5"/>
    <w:rsid w:val="00741A1A"/>
    <w:rsid w:val="00742490"/>
    <w:rsid w:val="007428D5"/>
    <w:rsid w:val="00743659"/>
    <w:rsid w:val="0074404A"/>
    <w:rsid w:val="00747C18"/>
    <w:rsid w:val="0075060C"/>
    <w:rsid w:val="00751BC3"/>
    <w:rsid w:val="00751EF0"/>
    <w:rsid w:val="00753434"/>
    <w:rsid w:val="00757C21"/>
    <w:rsid w:val="00757EC8"/>
    <w:rsid w:val="0076016B"/>
    <w:rsid w:val="00762049"/>
    <w:rsid w:val="00762559"/>
    <w:rsid w:val="007632E6"/>
    <w:rsid w:val="00771DFE"/>
    <w:rsid w:val="007753B6"/>
    <w:rsid w:val="00775A2A"/>
    <w:rsid w:val="00775BA3"/>
    <w:rsid w:val="00776D08"/>
    <w:rsid w:val="00777492"/>
    <w:rsid w:val="007774EB"/>
    <w:rsid w:val="007777D8"/>
    <w:rsid w:val="00783A33"/>
    <w:rsid w:val="00785A93"/>
    <w:rsid w:val="00785D76"/>
    <w:rsid w:val="007905E0"/>
    <w:rsid w:val="0079170B"/>
    <w:rsid w:val="007922F4"/>
    <w:rsid w:val="00793327"/>
    <w:rsid w:val="00794356"/>
    <w:rsid w:val="00794A89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08B3"/>
    <w:rsid w:val="007B3010"/>
    <w:rsid w:val="007B33B3"/>
    <w:rsid w:val="007B33C5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441"/>
    <w:rsid w:val="007D28B0"/>
    <w:rsid w:val="007D390D"/>
    <w:rsid w:val="007D547D"/>
    <w:rsid w:val="007D55CA"/>
    <w:rsid w:val="007D6B3D"/>
    <w:rsid w:val="007D7C16"/>
    <w:rsid w:val="007D7E5F"/>
    <w:rsid w:val="007E04B9"/>
    <w:rsid w:val="007E0E72"/>
    <w:rsid w:val="007E100C"/>
    <w:rsid w:val="007E15FC"/>
    <w:rsid w:val="007E3106"/>
    <w:rsid w:val="007E3D2B"/>
    <w:rsid w:val="007E4526"/>
    <w:rsid w:val="007E4871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3D40"/>
    <w:rsid w:val="007F4A2F"/>
    <w:rsid w:val="007F5922"/>
    <w:rsid w:val="007F5AD4"/>
    <w:rsid w:val="00800DBF"/>
    <w:rsid w:val="00803735"/>
    <w:rsid w:val="00804A3A"/>
    <w:rsid w:val="00806189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38C"/>
    <w:rsid w:val="00812B87"/>
    <w:rsid w:val="00812CF5"/>
    <w:rsid w:val="00814C9F"/>
    <w:rsid w:val="0082014C"/>
    <w:rsid w:val="00820744"/>
    <w:rsid w:val="00820F01"/>
    <w:rsid w:val="00821DE9"/>
    <w:rsid w:val="00821E19"/>
    <w:rsid w:val="00823648"/>
    <w:rsid w:val="00823F2D"/>
    <w:rsid w:val="00824618"/>
    <w:rsid w:val="00824704"/>
    <w:rsid w:val="008256FF"/>
    <w:rsid w:val="00825A57"/>
    <w:rsid w:val="008265D1"/>
    <w:rsid w:val="00826FEA"/>
    <w:rsid w:val="0082781C"/>
    <w:rsid w:val="0083058B"/>
    <w:rsid w:val="008308A6"/>
    <w:rsid w:val="008314A1"/>
    <w:rsid w:val="0083474B"/>
    <w:rsid w:val="00835298"/>
    <w:rsid w:val="00835F08"/>
    <w:rsid w:val="008364D0"/>
    <w:rsid w:val="00840211"/>
    <w:rsid w:val="008407F7"/>
    <w:rsid w:val="0084096F"/>
    <w:rsid w:val="00842AC0"/>
    <w:rsid w:val="00844335"/>
    <w:rsid w:val="00846320"/>
    <w:rsid w:val="00846880"/>
    <w:rsid w:val="008526CB"/>
    <w:rsid w:val="0085571A"/>
    <w:rsid w:val="00855CBB"/>
    <w:rsid w:val="008624C8"/>
    <w:rsid w:val="0086316D"/>
    <w:rsid w:val="00870671"/>
    <w:rsid w:val="008711D3"/>
    <w:rsid w:val="00873344"/>
    <w:rsid w:val="00873393"/>
    <w:rsid w:val="00874EC6"/>
    <w:rsid w:val="00875123"/>
    <w:rsid w:val="00875397"/>
    <w:rsid w:val="00875454"/>
    <w:rsid w:val="0087564F"/>
    <w:rsid w:val="00875A0C"/>
    <w:rsid w:val="0087602D"/>
    <w:rsid w:val="008765FB"/>
    <w:rsid w:val="008773BA"/>
    <w:rsid w:val="008801EE"/>
    <w:rsid w:val="008813AE"/>
    <w:rsid w:val="00882693"/>
    <w:rsid w:val="00883C12"/>
    <w:rsid w:val="0088716F"/>
    <w:rsid w:val="008878C7"/>
    <w:rsid w:val="00890309"/>
    <w:rsid w:val="00890313"/>
    <w:rsid w:val="00892B20"/>
    <w:rsid w:val="00895253"/>
    <w:rsid w:val="0089542E"/>
    <w:rsid w:val="00895F0E"/>
    <w:rsid w:val="00896732"/>
    <w:rsid w:val="008969AB"/>
    <w:rsid w:val="00897637"/>
    <w:rsid w:val="00897C40"/>
    <w:rsid w:val="008A077C"/>
    <w:rsid w:val="008A1812"/>
    <w:rsid w:val="008A2131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6915"/>
    <w:rsid w:val="008B71C6"/>
    <w:rsid w:val="008C074B"/>
    <w:rsid w:val="008C10A1"/>
    <w:rsid w:val="008C1EE2"/>
    <w:rsid w:val="008C2BCD"/>
    <w:rsid w:val="008C2FA3"/>
    <w:rsid w:val="008C42A0"/>
    <w:rsid w:val="008C49CA"/>
    <w:rsid w:val="008C4C18"/>
    <w:rsid w:val="008C5511"/>
    <w:rsid w:val="008C5549"/>
    <w:rsid w:val="008C66E3"/>
    <w:rsid w:val="008C75C0"/>
    <w:rsid w:val="008D070F"/>
    <w:rsid w:val="008D0A9B"/>
    <w:rsid w:val="008D0CA9"/>
    <w:rsid w:val="008D15FE"/>
    <w:rsid w:val="008D1CA6"/>
    <w:rsid w:val="008D24C5"/>
    <w:rsid w:val="008D4709"/>
    <w:rsid w:val="008D4854"/>
    <w:rsid w:val="008D4DDB"/>
    <w:rsid w:val="008D519A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8EC"/>
    <w:rsid w:val="008E7C85"/>
    <w:rsid w:val="008F2148"/>
    <w:rsid w:val="008F264B"/>
    <w:rsid w:val="008F2E05"/>
    <w:rsid w:val="008F37CD"/>
    <w:rsid w:val="008F4DF4"/>
    <w:rsid w:val="008F5F29"/>
    <w:rsid w:val="008F6535"/>
    <w:rsid w:val="008F6E88"/>
    <w:rsid w:val="008F791B"/>
    <w:rsid w:val="008F7BB6"/>
    <w:rsid w:val="009001FA"/>
    <w:rsid w:val="009003B5"/>
    <w:rsid w:val="0090790D"/>
    <w:rsid w:val="00910FED"/>
    <w:rsid w:val="0091204B"/>
    <w:rsid w:val="00914211"/>
    <w:rsid w:val="00914731"/>
    <w:rsid w:val="00916AAE"/>
    <w:rsid w:val="0091717F"/>
    <w:rsid w:val="00917278"/>
    <w:rsid w:val="0092263F"/>
    <w:rsid w:val="009227C3"/>
    <w:rsid w:val="00923682"/>
    <w:rsid w:val="0092381C"/>
    <w:rsid w:val="00923BE0"/>
    <w:rsid w:val="0092496D"/>
    <w:rsid w:val="00926E67"/>
    <w:rsid w:val="00927215"/>
    <w:rsid w:val="00932427"/>
    <w:rsid w:val="009335EF"/>
    <w:rsid w:val="009337D7"/>
    <w:rsid w:val="0093450A"/>
    <w:rsid w:val="00936B3F"/>
    <w:rsid w:val="00940568"/>
    <w:rsid w:val="00940BEE"/>
    <w:rsid w:val="009463EE"/>
    <w:rsid w:val="0095183C"/>
    <w:rsid w:val="00951E55"/>
    <w:rsid w:val="0095258B"/>
    <w:rsid w:val="00952C52"/>
    <w:rsid w:val="00954154"/>
    <w:rsid w:val="00954532"/>
    <w:rsid w:val="0095706A"/>
    <w:rsid w:val="00957413"/>
    <w:rsid w:val="009574B1"/>
    <w:rsid w:val="00957DE6"/>
    <w:rsid w:val="009601BA"/>
    <w:rsid w:val="009608ED"/>
    <w:rsid w:val="00962CAD"/>
    <w:rsid w:val="00963A50"/>
    <w:rsid w:val="00963A59"/>
    <w:rsid w:val="00966C7E"/>
    <w:rsid w:val="00971A6F"/>
    <w:rsid w:val="00973366"/>
    <w:rsid w:val="009739B3"/>
    <w:rsid w:val="009746D9"/>
    <w:rsid w:val="009750E5"/>
    <w:rsid w:val="0097607B"/>
    <w:rsid w:val="00977714"/>
    <w:rsid w:val="009820E1"/>
    <w:rsid w:val="00982F3D"/>
    <w:rsid w:val="00983158"/>
    <w:rsid w:val="0098396B"/>
    <w:rsid w:val="0098581D"/>
    <w:rsid w:val="00986D01"/>
    <w:rsid w:val="00990B9C"/>
    <w:rsid w:val="0099126C"/>
    <w:rsid w:val="009912EA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A726B"/>
    <w:rsid w:val="009B0A7A"/>
    <w:rsid w:val="009B0AF1"/>
    <w:rsid w:val="009B0E58"/>
    <w:rsid w:val="009B1293"/>
    <w:rsid w:val="009B3B6B"/>
    <w:rsid w:val="009B51F3"/>
    <w:rsid w:val="009B6907"/>
    <w:rsid w:val="009C14DB"/>
    <w:rsid w:val="009C393B"/>
    <w:rsid w:val="009C455C"/>
    <w:rsid w:val="009C46A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4BDC"/>
    <w:rsid w:val="009E657E"/>
    <w:rsid w:val="009E7731"/>
    <w:rsid w:val="009E7DFA"/>
    <w:rsid w:val="009F1CD3"/>
    <w:rsid w:val="009F248D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586"/>
    <w:rsid w:val="00A03945"/>
    <w:rsid w:val="00A06400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16E78"/>
    <w:rsid w:val="00A236DA"/>
    <w:rsid w:val="00A23FA2"/>
    <w:rsid w:val="00A26D4D"/>
    <w:rsid w:val="00A26DF6"/>
    <w:rsid w:val="00A3054F"/>
    <w:rsid w:val="00A3163B"/>
    <w:rsid w:val="00A3188C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6AC9"/>
    <w:rsid w:val="00A3717E"/>
    <w:rsid w:val="00A37361"/>
    <w:rsid w:val="00A373B6"/>
    <w:rsid w:val="00A37EC0"/>
    <w:rsid w:val="00A4115E"/>
    <w:rsid w:val="00A425D0"/>
    <w:rsid w:val="00A43F63"/>
    <w:rsid w:val="00A4488C"/>
    <w:rsid w:val="00A45A2E"/>
    <w:rsid w:val="00A45AA0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A8D"/>
    <w:rsid w:val="00A65B5F"/>
    <w:rsid w:val="00A65E06"/>
    <w:rsid w:val="00A66806"/>
    <w:rsid w:val="00A6692B"/>
    <w:rsid w:val="00A67638"/>
    <w:rsid w:val="00A67724"/>
    <w:rsid w:val="00A67919"/>
    <w:rsid w:val="00A67FF1"/>
    <w:rsid w:val="00A71D40"/>
    <w:rsid w:val="00A731A0"/>
    <w:rsid w:val="00A76238"/>
    <w:rsid w:val="00A76694"/>
    <w:rsid w:val="00A76A17"/>
    <w:rsid w:val="00A80147"/>
    <w:rsid w:val="00A80DF9"/>
    <w:rsid w:val="00A81DF9"/>
    <w:rsid w:val="00A81F2B"/>
    <w:rsid w:val="00A8405E"/>
    <w:rsid w:val="00A84839"/>
    <w:rsid w:val="00A850E0"/>
    <w:rsid w:val="00A86E28"/>
    <w:rsid w:val="00A90236"/>
    <w:rsid w:val="00A91488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4E38"/>
    <w:rsid w:val="00AA5456"/>
    <w:rsid w:val="00AA63B2"/>
    <w:rsid w:val="00AA67A2"/>
    <w:rsid w:val="00AB0DB0"/>
    <w:rsid w:val="00AB3693"/>
    <w:rsid w:val="00AB3CD2"/>
    <w:rsid w:val="00AB3D37"/>
    <w:rsid w:val="00AB4EF8"/>
    <w:rsid w:val="00AB50C9"/>
    <w:rsid w:val="00AB6B2B"/>
    <w:rsid w:val="00AB6EBF"/>
    <w:rsid w:val="00AB7975"/>
    <w:rsid w:val="00AC0D02"/>
    <w:rsid w:val="00AC1910"/>
    <w:rsid w:val="00AC25B5"/>
    <w:rsid w:val="00AC5288"/>
    <w:rsid w:val="00AC53B8"/>
    <w:rsid w:val="00AC5C63"/>
    <w:rsid w:val="00AC7A5D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2F84"/>
    <w:rsid w:val="00AE30B0"/>
    <w:rsid w:val="00AE4643"/>
    <w:rsid w:val="00AE7373"/>
    <w:rsid w:val="00AF00AA"/>
    <w:rsid w:val="00AF0A19"/>
    <w:rsid w:val="00AF4740"/>
    <w:rsid w:val="00AF58EA"/>
    <w:rsid w:val="00AF6260"/>
    <w:rsid w:val="00AF6DDB"/>
    <w:rsid w:val="00AF7532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8E7"/>
    <w:rsid w:val="00B13FBC"/>
    <w:rsid w:val="00B148BA"/>
    <w:rsid w:val="00B149D7"/>
    <w:rsid w:val="00B159F0"/>
    <w:rsid w:val="00B15D85"/>
    <w:rsid w:val="00B15E71"/>
    <w:rsid w:val="00B16216"/>
    <w:rsid w:val="00B16AC9"/>
    <w:rsid w:val="00B20F64"/>
    <w:rsid w:val="00B21B6A"/>
    <w:rsid w:val="00B21F78"/>
    <w:rsid w:val="00B22537"/>
    <w:rsid w:val="00B226C5"/>
    <w:rsid w:val="00B23F1A"/>
    <w:rsid w:val="00B247B9"/>
    <w:rsid w:val="00B254B5"/>
    <w:rsid w:val="00B263E4"/>
    <w:rsid w:val="00B263EF"/>
    <w:rsid w:val="00B26B48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47D2"/>
    <w:rsid w:val="00B46820"/>
    <w:rsid w:val="00B4727D"/>
    <w:rsid w:val="00B47FF7"/>
    <w:rsid w:val="00B5074E"/>
    <w:rsid w:val="00B517FD"/>
    <w:rsid w:val="00B53010"/>
    <w:rsid w:val="00B548BC"/>
    <w:rsid w:val="00B54F2F"/>
    <w:rsid w:val="00B559FB"/>
    <w:rsid w:val="00B55C89"/>
    <w:rsid w:val="00B56243"/>
    <w:rsid w:val="00B57915"/>
    <w:rsid w:val="00B57E36"/>
    <w:rsid w:val="00B60E98"/>
    <w:rsid w:val="00B61A54"/>
    <w:rsid w:val="00B64B2D"/>
    <w:rsid w:val="00B6574C"/>
    <w:rsid w:val="00B67721"/>
    <w:rsid w:val="00B70154"/>
    <w:rsid w:val="00B7144F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6033"/>
    <w:rsid w:val="00B8701B"/>
    <w:rsid w:val="00B900E0"/>
    <w:rsid w:val="00B90168"/>
    <w:rsid w:val="00B9099E"/>
    <w:rsid w:val="00B90D49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176A"/>
    <w:rsid w:val="00BB3B8A"/>
    <w:rsid w:val="00BB3C6B"/>
    <w:rsid w:val="00BB40B7"/>
    <w:rsid w:val="00BB4A53"/>
    <w:rsid w:val="00BB4B14"/>
    <w:rsid w:val="00BB5500"/>
    <w:rsid w:val="00BB613F"/>
    <w:rsid w:val="00BB7001"/>
    <w:rsid w:val="00BC1716"/>
    <w:rsid w:val="00BC4CED"/>
    <w:rsid w:val="00BC5132"/>
    <w:rsid w:val="00BD0A61"/>
    <w:rsid w:val="00BD4811"/>
    <w:rsid w:val="00BD6BC2"/>
    <w:rsid w:val="00BD74C0"/>
    <w:rsid w:val="00BD7549"/>
    <w:rsid w:val="00BE0136"/>
    <w:rsid w:val="00BE24E7"/>
    <w:rsid w:val="00BE278A"/>
    <w:rsid w:val="00BE302D"/>
    <w:rsid w:val="00BF064B"/>
    <w:rsid w:val="00BF2546"/>
    <w:rsid w:val="00BF25C0"/>
    <w:rsid w:val="00BF30B6"/>
    <w:rsid w:val="00BF5D3E"/>
    <w:rsid w:val="00BF6725"/>
    <w:rsid w:val="00BF70AA"/>
    <w:rsid w:val="00BF710D"/>
    <w:rsid w:val="00BF73EC"/>
    <w:rsid w:val="00C00783"/>
    <w:rsid w:val="00C021B7"/>
    <w:rsid w:val="00C022E8"/>
    <w:rsid w:val="00C02B5F"/>
    <w:rsid w:val="00C0373D"/>
    <w:rsid w:val="00C03E8A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2B1C"/>
    <w:rsid w:val="00C231BE"/>
    <w:rsid w:val="00C23B2D"/>
    <w:rsid w:val="00C25D89"/>
    <w:rsid w:val="00C3075D"/>
    <w:rsid w:val="00C30F65"/>
    <w:rsid w:val="00C339FF"/>
    <w:rsid w:val="00C33CA3"/>
    <w:rsid w:val="00C35119"/>
    <w:rsid w:val="00C35799"/>
    <w:rsid w:val="00C3681C"/>
    <w:rsid w:val="00C36B24"/>
    <w:rsid w:val="00C37DA2"/>
    <w:rsid w:val="00C41D42"/>
    <w:rsid w:val="00C4206E"/>
    <w:rsid w:val="00C420F5"/>
    <w:rsid w:val="00C42E22"/>
    <w:rsid w:val="00C43A02"/>
    <w:rsid w:val="00C447B3"/>
    <w:rsid w:val="00C46300"/>
    <w:rsid w:val="00C46938"/>
    <w:rsid w:val="00C50881"/>
    <w:rsid w:val="00C50AFB"/>
    <w:rsid w:val="00C52DF5"/>
    <w:rsid w:val="00C54574"/>
    <w:rsid w:val="00C54CC9"/>
    <w:rsid w:val="00C61736"/>
    <w:rsid w:val="00C62FF5"/>
    <w:rsid w:val="00C630ED"/>
    <w:rsid w:val="00C63C0E"/>
    <w:rsid w:val="00C65B76"/>
    <w:rsid w:val="00C665FA"/>
    <w:rsid w:val="00C671A4"/>
    <w:rsid w:val="00C70147"/>
    <w:rsid w:val="00C71B17"/>
    <w:rsid w:val="00C739B9"/>
    <w:rsid w:val="00C73D38"/>
    <w:rsid w:val="00C777EF"/>
    <w:rsid w:val="00C77DC0"/>
    <w:rsid w:val="00C814FC"/>
    <w:rsid w:val="00C8185D"/>
    <w:rsid w:val="00C81DE6"/>
    <w:rsid w:val="00C82379"/>
    <w:rsid w:val="00C83DED"/>
    <w:rsid w:val="00C8442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3912"/>
    <w:rsid w:val="00C95DBB"/>
    <w:rsid w:val="00C964FD"/>
    <w:rsid w:val="00C96FB3"/>
    <w:rsid w:val="00CA0156"/>
    <w:rsid w:val="00CA09C6"/>
    <w:rsid w:val="00CA20CC"/>
    <w:rsid w:val="00CA24A8"/>
    <w:rsid w:val="00CA3CE4"/>
    <w:rsid w:val="00CA4567"/>
    <w:rsid w:val="00CA5782"/>
    <w:rsid w:val="00CA6A53"/>
    <w:rsid w:val="00CA7DB3"/>
    <w:rsid w:val="00CB0ABD"/>
    <w:rsid w:val="00CB20B0"/>
    <w:rsid w:val="00CB25E9"/>
    <w:rsid w:val="00CB28EE"/>
    <w:rsid w:val="00CB34BF"/>
    <w:rsid w:val="00CB4B0A"/>
    <w:rsid w:val="00CB4D06"/>
    <w:rsid w:val="00CB6A94"/>
    <w:rsid w:val="00CC13B1"/>
    <w:rsid w:val="00CC1961"/>
    <w:rsid w:val="00CC23AA"/>
    <w:rsid w:val="00CC3614"/>
    <w:rsid w:val="00CC3A63"/>
    <w:rsid w:val="00CC6889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6BF"/>
    <w:rsid w:val="00CD6F1E"/>
    <w:rsid w:val="00CE1469"/>
    <w:rsid w:val="00CE1971"/>
    <w:rsid w:val="00CE1F4D"/>
    <w:rsid w:val="00CE2C59"/>
    <w:rsid w:val="00CE2CAD"/>
    <w:rsid w:val="00CE419C"/>
    <w:rsid w:val="00CE471F"/>
    <w:rsid w:val="00CE49C2"/>
    <w:rsid w:val="00CE534A"/>
    <w:rsid w:val="00CE60D9"/>
    <w:rsid w:val="00CE6E2A"/>
    <w:rsid w:val="00CF0E20"/>
    <w:rsid w:val="00CF13F4"/>
    <w:rsid w:val="00CF623B"/>
    <w:rsid w:val="00CF6323"/>
    <w:rsid w:val="00CF6A94"/>
    <w:rsid w:val="00D01A87"/>
    <w:rsid w:val="00D01C87"/>
    <w:rsid w:val="00D03156"/>
    <w:rsid w:val="00D033E1"/>
    <w:rsid w:val="00D05058"/>
    <w:rsid w:val="00D053B3"/>
    <w:rsid w:val="00D06B89"/>
    <w:rsid w:val="00D10BA6"/>
    <w:rsid w:val="00D10D06"/>
    <w:rsid w:val="00D12072"/>
    <w:rsid w:val="00D13452"/>
    <w:rsid w:val="00D1406D"/>
    <w:rsid w:val="00D1412A"/>
    <w:rsid w:val="00D143D9"/>
    <w:rsid w:val="00D1490A"/>
    <w:rsid w:val="00D14CD0"/>
    <w:rsid w:val="00D21278"/>
    <w:rsid w:val="00D21AC8"/>
    <w:rsid w:val="00D21FB5"/>
    <w:rsid w:val="00D22D00"/>
    <w:rsid w:val="00D235FB"/>
    <w:rsid w:val="00D23FD6"/>
    <w:rsid w:val="00D244F3"/>
    <w:rsid w:val="00D24550"/>
    <w:rsid w:val="00D24C94"/>
    <w:rsid w:val="00D27576"/>
    <w:rsid w:val="00D27634"/>
    <w:rsid w:val="00D2792A"/>
    <w:rsid w:val="00D30DCD"/>
    <w:rsid w:val="00D30DDE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7E5"/>
    <w:rsid w:val="00D43AA0"/>
    <w:rsid w:val="00D4471F"/>
    <w:rsid w:val="00D4565D"/>
    <w:rsid w:val="00D46565"/>
    <w:rsid w:val="00D47B0B"/>
    <w:rsid w:val="00D524A6"/>
    <w:rsid w:val="00D5393B"/>
    <w:rsid w:val="00D54A7B"/>
    <w:rsid w:val="00D56F71"/>
    <w:rsid w:val="00D6106A"/>
    <w:rsid w:val="00D62B6E"/>
    <w:rsid w:val="00D64938"/>
    <w:rsid w:val="00D65EB1"/>
    <w:rsid w:val="00D664F8"/>
    <w:rsid w:val="00D66E76"/>
    <w:rsid w:val="00D671C4"/>
    <w:rsid w:val="00D673B0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0A29"/>
    <w:rsid w:val="00D81B41"/>
    <w:rsid w:val="00D82B59"/>
    <w:rsid w:val="00D83950"/>
    <w:rsid w:val="00D850E7"/>
    <w:rsid w:val="00D86423"/>
    <w:rsid w:val="00D86B10"/>
    <w:rsid w:val="00D874EA"/>
    <w:rsid w:val="00D87588"/>
    <w:rsid w:val="00D913EA"/>
    <w:rsid w:val="00D91651"/>
    <w:rsid w:val="00D9181B"/>
    <w:rsid w:val="00D94CD2"/>
    <w:rsid w:val="00D953FA"/>
    <w:rsid w:val="00D978BD"/>
    <w:rsid w:val="00D97DA1"/>
    <w:rsid w:val="00DA0E38"/>
    <w:rsid w:val="00DA116A"/>
    <w:rsid w:val="00DA1D31"/>
    <w:rsid w:val="00DA272B"/>
    <w:rsid w:val="00DA2A71"/>
    <w:rsid w:val="00DA2AF2"/>
    <w:rsid w:val="00DA32C0"/>
    <w:rsid w:val="00DA41ED"/>
    <w:rsid w:val="00DA496A"/>
    <w:rsid w:val="00DA59B4"/>
    <w:rsid w:val="00DA6A40"/>
    <w:rsid w:val="00DA6BD9"/>
    <w:rsid w:val="00DA7BD8"/>
    <w:rsid w:val="00DB05C2"/>
    <w:rsid w:val="00DB1CAE"/>
    <w:rsid w:val="00DB2F85"/>
    <w:rsid w:val="00DB3C3B"/>
    <w:rsid w:val="00DB546A"/>
    <w:rsid w:val="00DB586B"/>
    <w:rsid w:val="00DB7378"/>
    <w:rsid w:val="00DB75A5"/>
    <w:rsid w:val="00DC07E1"/>
    <w:rsid w:val="00DC30D7"/>
    <w:rsid w:val="00DC4EC1"/>
    <w:rsid w:val="00DC63B8"/>
    <w:rsid w:val="00DC71E9"/>
    <w:rsid w:val="00DD1F92"/>
    <w:rsid w:val="00DD2564"/>
    <w:rsid w:val="00DD376B"/>
    <w:rsid w:val="00DD3E2E"/>
    <w:rsid w:val="00DD4C9C"/>
    <w:rsid w:val="00DD5124"/>
    <w:rsid w:val="00DD5269"/>
    <w:rsid w:val="00DD5B51"/>
    <w:rsid w:val="00DD61D2"/>
    <w:rsid w:val="00DD7F61"/>
    <w:rsid w:val="00DE0594"/>
    <w:rsid w:val="00DE2EB4"/>
    <w:rsid w:val="00DE44DB"/>
    <w:rsid w:val="00DE5185"/>
    <w:rsid w:val="00DF07D6"/>
    <w:rsid w:val="00DF2255"/>
    <w:rsid w:val="00DF2413"/>
    <w:rsid w:val="00DF431B"/>
    <w:rsid w:val="00DF4423"/>
    <w:rsid w:val="00DF4C4B"/>
    <w:rsid w:val="00DF50B1"/>
    <w:rsid w:val="00DF71E0"/>
    <w:rsid w:val="00DF76FA"/>
    <w:rsid w:val="00DF7746"/>
    <w:rsid w:val="00DF776E"/>
    <w:rsid w:val="00DF79FF"/>
    <w:rsid w:val="00E00428"/>
    <w:rsid w:val="00E0103A"/>
    <w:rsid w:val="00E02237"/>
    <w:rsid w:val="00E03FCB"/>
    <w:rsid w:val="00E05EA5"/>
    <w:rsid w:val="00E05FC8"/>
    <w:rsid w:val="00E067A7"/>
    <w:rsid w:val="00E076D4"/>
    <w:rsid w:val="00E1106D"/>
    <w:rsid w:val="00E120BD"/>
    <w:rsid w:val="00E12D0D"/>
    <w:rsid w:val="00E13170"/>
    <w:rsid w:val="00E1345C"/>
    <w:rsid w:val="00E13529"/>
    <w:rsid w:val="00E14BCE"/>
    <w:rsid w:val="00E156E6"/>
    <w:rsid w:val="00E15971"/>
    <w:rsid w:val="00E15E60"/>
    <w:rsid w:val="00E175F7"/>
    <w:rsid w:val="00E17779"/>
    <w:rsid w:val="00E20260"/>
    <w:rsid w:val="00E203D5"/>
    <w:rsid w:val="00E2088F"/>
    <w:rsid w:val="00E21BBE"/>
    <w:rsid w:val="00E225AA"/>
    <w:rsid w:val="00E233CD"/>
    <w:rsid w:val="00E25999"/>
    <w:rsid w:val="00E26847"/>
    <w:rsid w:val="00E276EC"/>
    <w:rsid w:val="00E30F74"/>
    <w:rsid w:val="00E31095"/>
    <w:rsid w:val="00E3278E"/>
    <w:rsid w:val="00E3363F"/>
    <w:rsid w:val="00E33EF6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306"/>
    <w:rsid w:val="00E426EA"/>
    <w:rsid w:val="00E4314F"/>
    <w:rsid w:val="00E436B6"/>
    <w:rsid w:val="00E43A6B"/>
    <w:rsid w:val="00E44CF9"/>
    <w:rsid w:val="00E45381"/>
    <w:rsid w:val="00E4578E"/>
    <w:rsid w:val="00E46FCB"/>
    <w:rsid w:val="00E47DEA"/>
    <w:rsid w:val="00E50580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2817"/>
    <w:rsid w:val="00E637EF"/>
    <w:rsid w:val="00E655F4"/>
    <w:rsid w:val="00E66BCA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9B8"/>
    <w:rsid w:val="00E77DFD"/>
    <w:rsid w:val="00E8007F"/>
    <w:rsid w:val="00E812C0"/>
    <w:rsid w:val="00E81C34"/>
    <w:rsid w:val="00E845AA"/>
    <w:rsid w:val="00E8494F"/>
    <w:rsid w:val="00E86465"/>
    <w:rsid w:val="00E870B3"/>
    <w:rsid w:val="00E90B49"/>
    <w:rsid w:val="00E9112E"/>
    <w:rsid w:val="00E92445"/>
    <w:rsid w:val="00E92D41"/>
    <w:rsid w:val="00E935C0"/>
    <w:rsid w:val="00E936AC"/>
    <w:rsid w:val="00E93BFF"/>
    <w:rsid w:val="00E960ED"/>
    <w:rsid w:val="00E96577"/>
    <w:rsid w:val="00E96A3F"/>
    <w:rsid w:val="00E97318"/>
    <w:rsid w:val="00E97512"/>
    <w:rsid w:val="00EA0691"/>
    <w:rsid w:val="00EA10E2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20E"/>
    <w:rsid w:val="00EB1EA6"/>
    <w:rsid w:val="00EB2A00"/>
    <w:rsid w:val="00EB2C0E"/>
    <w:rsid w:val="00EB4077"/>
    <w:rsid w:val="00EB40F5"/>
    <w:rsid w:val="00EB4FC8"/>
    <w:rsid w:val="00EB5658"/>
    <w:rsid w:val="00EB5F5A"/>
    <w:rsid w:val="00EB7045"/>
    <w:rsid w:val="00EB7568"/>
    <w:rsid w:val="00EB7713"/>
    <w:rsid w:val="00EB7BCA"/>
    <w:rsid w:val="00EC129F"/>
    <w:rsid w:val="00EC373D"/>
    <w:rsid w:val="00EC3FF8"/>
    <w:rsid w:val="00EC45D6"/>
    <w:rsid w:val="00EC4625"/>
    <w:rsid w:val="00EC651A"/>
    <w:rsid w:val="00EC6A07"/>
    <w:rsid w:val="00EC6C4F"/>
    <w:rsid w:val="00EC7FBA"/>
    <w:rsid w:val="00ED04A9"/>
    <w:rsid w:val="00ED0B95"/>
    <w:rsid w:val="00ED1A59"/>
    <w:rsid w:val="00ED27A3"/>
    <w:rsid w:val="00ED4AC6"/>
    <w:rsid w:val="00ED5DB7"/>
    <w:rsid w:val="00ED6B76"/>
    <w:rsid w:val="00ED7FF6"/>
    <w:rsid w:val="00EE1E94"/>
    <w:rsid w:val="00EE1F90"/>
    <w:rsid w:val="00EE2587"/>
    <w:rsid w:val="00EE3E9D"/>
    <w:rsid w:val="00EE45AC"/>
    <w:rsid w:val="00EE6095"/>
    <w:rsid w:val="00EE6382"/>
    <w:rsid w:val="00EE65CB"/>
    <w:rsid w:val="00EE6678"/>
    <w:rsid w:val="00EE77D9"/>
    <w:rsid w:val="00EE792F"/>
    <w:rsid w:val="00EF01CD"/>
    <w:rsid w:val="00EF09AA"/>
    <w:rsid w:val="00EF0E81"/>
    <w:rsid w:val="00EF0EA3"/>
    <w:rsid w:val="00EF1FF6"/>
    <w:rsid w:val="00EF3342"/>
    <w:rsid w:val="00EF3A29"/>
    <w:rsid w:val="00EF430E"/>
    <w:rsid w:val="00EF4755"/>
    <w:rsid w:val="00EF479D"/>
    <w:rsid w:val="00EF6839"/>
    <w:rsid w:val="00EF7200"/>
    <w:rsid w:val="00F00AE4"/>
    <w:rsid w:val="00F00B36"/>
    <w:rsid w:val="00F00F72"/>
    <w:rsid w:val="00F015E6"/>
    <w:rsid w:val="00F01864"/>
    <w:rsid w:val="00F02833"/>
    <w:rsid w:val="00F0296F"/>
    <w:rsid w:val="00F03AC9"/>
    <w:rsid w:val="00F05BA9"/>
    <w:rsid w:val="00F066F4"/>
    <w:rsid w:val="00F079A5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279"/>
    <w:rsid w:val="00F22A10"/>
    <w:rsid w:val="00F233E5"/>
    <w:rsid w:val="00F23C85"/>
    <w:rsid w:val="00F2414D"/>
    <w:rsid w:val="00F24985"/>
    <w:rsid w:val="00F252BC"/>
    <w:rsid w:val="00F25A1E"/>
    <w:rsid w:val="00F25DD3"/>
    <w:rsid w:val="00F26795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C2"/>
    <w:rsid w:val="00F47C4B"/>
    <w:rsid w:val="00F51DA6"/>
    <w:rsid w:val="00F52545"/>
    <w:rsid w:val="00F55CAA"/>
    <w:rsid w:val="00F5694C"/>
    <w:rsid w:val="00F60C7F"/>
    <w:rsid w:val="00F60F99"/>
    <w:rsid w:val="00F610DE"/>
    <w:rsid w:val="00F61AE8"/>
    <w:rsid w:val="00F63A2C"/>
    <w:rsid w:val="00F63FEF"/>
    <w:rsid w:val="00F6423B"/>
    <w:rsid w:val="00F678B5"/>
    <w:rsid w:val="00F700CA"/>
    <w:rsid w:val="00F71634"/>
    <w:rsid w:val="00F71CFE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2312"/>
    <w:rsid w:val="00F8246F"/>
    <w:rsid w:val="00F851A6"/>
    <w:rsid w:val="00F85441"/>
    <w:rsid w:val="00F8597E"/>
    <w:rsid w:val="00F86376"/>
    <w:rsid w:val="00F8666E"/>
    <w:rsid w:val="00F866E9"/>
    <w:rsid w:val="00F905A5"/>
    <w:rsid w:val="00F91821"/>
    <w:rsid w:val="00F927BB"/>
    <w:rsid w:val="00F94486"/>
    <w:rsid w:val="00F9456F"/>
    <w:rsid w:val="00F9497A"/>
    <w:rsid w:val="00F94E83"/>
    <w:rsid w:val="00F96655"/>
    <w:rsid w:val="00F96F62"/>
    <w:rsid w:val="00FA51A2"/>
    <w:rsid w:val="00FA525B"/>
    <w:rsid w:val="00FA5AB8"/>
    <w:rsid w:val="00FA6F25"/>
    <w:rsid w:val="00FA7897"/>
    <w:rsid w:val="00FB1742"/>
    <w:rsid w:val="00FB1DC9"/>
    <w:rsid w:val="00FB2A74"/>
    <w:rsid w:val="00FB32D4"/>
    <w:rsid w:val="00FB3311"/>
    <w:rsid w:val="00FB418B"/>
    <w:rsid w:val="00FB46A7"/>
    <w:rsid w:val="00FB4B2E"/>
    <w:rsid w:val="00FB601B"/>
    <w:rsid w:val="00FB66C9"/>
    <w:rsid w:val="00FB6C1A"/>
    <w:rsid w:val="00FC05E4"/>
    <w:rsid w:val="00FC0AFF"/>
    <w:rsid w:val="00FC0CA9"/>
    <w:rsid w:val="00FC3226"/>
    <w:rsid w:val="00FC4004"/>
    <w:rsid w:val="00FC4403"/>
    <w:rsid w:val="00FC44C7"/>
    <w:rsid w:val="00FC4C57"/>
    <w:rsid w:val="00FC4F0B"/>
    <w:rsid w:val="00FC52CC"/>
    <w:rsid w:val="00FC5A68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4F4"/>
    <w:rsid w:val="00FE1693"/>
    <w:rsid w:val="00FE1815"/>
    <w:rsid w:val="00FE1E32"/>
    <w:rsid w:val="00FE22FF"/>
    <w:rsid w:val="00FE34CA"/>
    <w:rsid w:val="00FE3FEE"/>
    <w:rsid w:val="00FE4B58"/>
    <w:rsid w:val="00FE4F45"/>
    <w:rsid w:val="00FE7762"/>
    <w:rsid w:val="00FE7908"/>
    <w:rsid w:val="00FE7DB0"/>
    <w:rsid w:val="00FF0E16"/>
    <w:rsid w:val="00FF141F"/>
    <w:rsid w:val="00FF2AF9"/>
    <w:rsid w:val="00FF2C3E"/>
    <w:rsid w:val="00FF2DD7"/>
    <w:rsid w:val="00FF33D1"/>
    <w:rsid w:val="00FF3E52"/>
    <w:rsid w:val="00FF4EC5"/>
    <w:rsid w:val="00FF54C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E81C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916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ogr7</dc:creator>
  <cp:keywords/>
  <dc:description/>
  <cp:lastModifiedBy>ogr7</cp:lastModifiedBy>
  <cp:revision>4</cp:revision>
  <dcterms:created xsi:type="dcterms:W3CDTF">2018-12-28T11:09:00Z</dcterms:created>
  <dcterms:modified xsi:type="dcterms:W3CDTF">2018-12-29T04:47:00Z</dcterms:modified>
</cp:coreProperties>
</file>