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93375F" w:rsidP="004D7A51">
      <w:pPr>
        <w:contextualSpacing/>
        <w:jc w:val="right"/>
      </w:pPr>
      <w:r>
        <w:rPr>
          <w:color w:val="000000" w:themeColor="text1"/>
        </w:rPr>
        <w:t>02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августа</w:t>
      </w:r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C4305A" w:rsidRPr="00E26A1D" w:rsidRDefault="00C4305A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75F" w:rsidRPr="0093375F" w:rsidRDefault="0093375F" w:rsidP="0093375F">
      <w:pPr>
        <w:shd w:val="clear" w:color="auto" w:fill="FFFFFF"/>
        <w:ind w:firstLine="567"/>
        <w:rPr>
          <w:b/>
          <w:bCs/>
          <w:color w:val="333333"/>
        </w:rPr>
      </w:pPr>
      <w:r w:rsidRPr="0093375F">
        <w:rPr>
          <w:b/>
          <w:bCs/>
          <w:color w:val="333333"/>
        </w:rPr>
        <w:t>Требования к антитеррористической защищенности объектов образования и административная ответственность за нарушение требований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В соответствии с п. 4 ч. 2 ст. 5 Федерального закона №35-ФЗ от 06.03.2006 «О противодействии терроризму» постановлением Правительства РФ от 02.08.2019 №1006 утверждены Требования к антитеррористической защищенности объектов Министерства просвещения Российской Федерации и объектов, относящихся к сфере деятельности Министерства просвещения Российской Федерации, и формы паспорта безопасности этих объектов.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Выполнение Требований, в части разработки паспорта безопасности, является обязательным для органов, являющихся правообладателями объектов, а также физических и юридических лиц в отношении объектов, находящихся в их собственности.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В целях установления дифференцированных требований к обеспечению антитеррористической защищенности объектов с учетом степени угрозы совершения террористического акта и возможных последствий его совершения согласно оценки состояния защищенности объектов и степени потенциальной опасности совершения террористического акта проводится категорирование объектов (территорий).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В силу пункта 24 Требований в целях обеспечения антитеррористической защищенности объектов, отнесенных </w:t>
      </w:r>
      <w:r w:rsidRPr="0093375F">
        <w:rPr>
          <w:color w:val="333333"/>
          <w:u w:val="single"/>
        </w:rPr>
        <w:t>к 4 категории опасности</w:t>
      </w:r>
      <w:r w:rsidRPr="0093375F">
        <w:rPr>
          <w:color w:val="333333"/>
        </w:rPr>
        <w:t>, осуществляются мероприятия: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-обеспечение пропускного и внутриобъектового режимов и осуществление контроля за их функционированием;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-оснащение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-исключение бесконтрольного пребывания на объекте посторонних лиц и нахождения транспортных средств, в том числе в непосредственной близости от объекта (территории);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lastRenderedPageBreak/>
        <w:t>Согласно пункту 25 Требований в отношении объектов </w:t>
      </w:r>
      <w:r w:rsidRPr="0093375F">
        <w:rPr>
          <w:color w:val="333333"/>
          <w:u w:val="single"/>
        </w:rPr>
        <w:t xml:space="preserve">3 категории </w:t>
      </w:r>
      <w:proofErr w:type="spellStart"/>
      <w:r w:rsidRPr="0093375F">
        <w:rPr>
          <w:color w:val="333333"/>
          <w:u w:val="single"/>
        </w:rPr>
        <w:t>опасности</w:t>
      </w:r>
      <w:r w:rsidRPr="0093375F">
        <w:rPr>
          <w:color w:val="333333"/>
        </w:rPr>
        <w:t>дополнительно</w:t>
      </w:r>
      <w:proofErr w:type="spellEnd"/>
      <w:r w:rsidRPr="0093375F">
        <w:rPr>
          <w:color w:val="333333"/>
        </w:rPr>
        <w:t xml:space="preserve"> к мероприятиям, предусмотренным пунктом 24 требований, осуществляются следующие мероприятия: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-оснащение объектов (территорий) системами видеонаблюдения, охранной сигнализации;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-оборудование основных входов в здания, входящие в состав объектов (территорий), контрольно-пропускными пунктами (постами охраны).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Управление образования как лицо, осуществляющее функции учредителя, распорядителя бюджетных средств, несет обязанность при формировании муниципального задания предусматривать расходы на содержание здания образовательного учреждения, переданного в оперативное управление, то есть отвечает за обеспечение финансирования вышеуказанных мероприятий.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Нарушение требований либо воспрепятствование деятельности лица по осуществлению возложенной на него обязанности, если эти действия не содержат признаков уголовно наказуемого деяния, влечет наложение административного штрафа на ответственных лиц, установленного ч. 1 ст. 20.35 КоАП РФ: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 от 3 тысяч до 5 тысяч рублей - для граждан;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от 30 тысяч до 50 тысяч рублей или дисквалификацию от 1,5 до 3 лет - для должностных лиц;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 от 100 тысяч до 500 тысяч - для юридических лиц.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В силу ст. 28.3 КоАП РФ полномочиями на составление протоколов об административных правонарушениях, предусмотренных ст. 20.35 КоАП РФ, наделены должностные лица ОВД (полиции).</w:t>
      </w:r>
    </w:p>
    <w:p w:rsidR="0093375F" w:rsidRPr="0093375F" w:rsidRDefault="0093375F" w:rsidP="0093375F">
      <w:pPr>
        <w:shd w:val="clear" w:color="auto" w:fill="FFFFFF"/>
        <w:ind w:firstLine="567"/>
        <w:jc w:val="both"/>
        <w:rPr>
          <w:color w:val="333333"/>
        </w:rPr>
      </w:pPr>
      <w:r w:rsidRPr="0093375F">
        <w:rPr>
          <w:color w:val="333333"/>
        </w:rPr>
        <w:t>В силу ст. 23.1 КоАП РФ дела об административных правонарушениях, предусмотренных ст. 20.35 КоАП РФ рассматриваются судами.</w:t>
      </w:r>
    </w:p>
    <w:p w:rsidR="0093375F" w:rsidRDefault="0093375F" w:rsidP="0093375F"/>
    <w:p w:rsidR="0093375F" w:rsidRDefault="0093375F" w:rsidP="0093375F"/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3375F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53C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F7D3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C89D-C2B9-4AFE-B277-B069D2FB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2022-11-29T03:04:00Z</cp:lastPrinted>
  <dcterms:created xsi:type="dcterms:W3CDTF">2022-11-29T12:11:00Z</dcterms:created>
  <dcterms:modified xsi:type="dcterms:W3CDTF">2022-11-29T12:11:00Z</dcterms:modified>
</cp:coreProperties>
</file>