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92" w:rsidRPr="00881F92" w:rsidRDefault="00881F92" w:rsidP="00881F92">
      <w:pPr>
        <w:ind w:firstLine="567"/>
        <w:jc w:val="center"/>
        <w:rPr>
          <w:b/>
          <w:color w:val="000000"/>
        </w:rPr>
      </w:pPr>
      <w:r w:rsidRPr="00881F92">
        <w:rPr>
          <w:b/>
          <w:color w:val="000000"/>
        </w:rPr>
        <w:t>ОТЧЕТ</w:t>
      </w:r>
    </w:p>
    <w:p w:rsidR="006B56CF" w:rsidRDefault="00881F92" w:rsidP="00881F92">
      <w:pPr>
        <w:ind w:firstLine="567"/>
        <w:jc w:val="center"/>
        <w:rPr>
          <w:b/>
          <w:color w:val="000000"/>
        </w:rPr>
      </w:pPr>
      <w:r w:rsidRPr="00881F92">
        <w:rPr>
          <w:b/>
          <w:color w:val="000000"/>
        </w:rPr>
        <w:t xml:space="preserve">о деятельности Общественного совета по вопросам ЖКХ города </w:t>
      </w:r>
      <w:proofErr w:type="spellStart"/>
      <w:r w:rsidRPr="00881F92">
        <w:rPr>
          <w:b/>
          <w:color w:val="000000"/>
        </w:rPr>
        <w:t>Урай</w:t>
      </w:r>
      <w:proofErr w:type="spellEnd"/>
    </w:p>
    <w:p w:rsidR="00881F92" w:rsidRPr="00881F92" w:rsidRDefault="006B56CF" w:rsidP="00881F92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 за 202</w:t>
      </w:r>
      <w:r w:rsidR="002E0DBF">
        <w:rPr>
          <w:b/>
          <w:color w:val="000000"/>
        </w:rPr>
        <w:t>1</w:t>
      </w:r>
      <w:r>
        <w:rPr>
          <w:b/>
          <w:color w:val="000000"/>
        </w:rPr>
        <w:t xml:space="preserve"> год</w:t>
      </w:r>
    </w:p>
    <w:p w:rsidR="00881F92" w:rsidRDefault="00881F92" w:rsidP="00881F92">
      <w:pPr>
        <w:ind w:firstLine="567"/>
        <w:jc w:val="center"/>
        <w:rPr>
          <w:color w:val="000000"/>
        </w:rPr>
      </w:pPr>
    </w:p>
    <w:p w:rsidR="00881F92" w:rsidRDefault="00881F92" w:rsidP="00881F92">
      <w:pPr>
        <w:ind w:firstLine="567"/>
        <w:jc w:val="center"/>
        <w:rPr>
          <w:color w:val="000000"/>
        </w:rPr>
      </w:pPr>
    </w:p>
    <w:p w:rsidR="00881F92" w:rsidRPr="00CB62C4" w:rsidRDefault="00881F92" w:rsidP="00881F92">
      <w:pPr>
        <w:ind w:firstLine="567"/>
        <w:jc w:val="both"/>
      </w:pPr>
      <w:proofErr w:type="gramStart"/>
      <w:r w:rsidRPr="00CB62C4">
        <w:t xml:space="preserve">В соответствии с Указом Президента Российской Федерации от 7 мая 2012 года №600 «О мерах по обеспечению граждан Российской Федерации доступным и комфортным жильем и повышению качества жилищно-коммунальных услуг», в целях организации общественного контроля в сфере предоставления жилищно-коммунальных услуг 27 марта 2013 года на территории городского округа город </w:t>
      </w:r>
      <w:proofErr w:type="spellStart"/>
      <w:r w:rsidRPr="00CB62C4">
        <w:t>Урай</w:t>
      </w:r>
      <w:proofErr w:type="spellEnd"/>
      <w:r w:rsidRPr="00CB62C4">
        <w:t xml:space="preserve"> создан Общественный совет по вопросам ЖКХ города </w:t>
      </w:r>
      <w:proofErr w:type="spellStart"/>
      <w:r w:rsidRPr="00CB62C4">
        <w:t>Урай</w:t>
      </w:r>
      <w:proofErr w:type="spellEnd"/>
      <w:r w:rsidRPr="00CB62C4">
        <w:t>.</w:t>
      </w:r>
      <w:proofErr w:type="gramEnd"/>
      <w:r w:rsidRPr="00CB62C4">
        <w:t xml:space="preserve">  </w:t>
      </w:r>
      <w:proofErr w:type="gramStart"/>
      <w:r w:rsidRPr="00CB62C4">
        <w:t xml:space="preserve">За период деятельности Общественного совета проведено </w:t>
      </w:r>
      <w:r w:rsidR="006714ED" w:rsidRPr="00CB62C4">
        <w:t>1</w:t>
      </w:r>
      <w:r w:rsidR="002E0DBF">
        <w:t>14</w:t>
      </w:r>
      <w:r w:rsidRPr="00CB62C4">
        <w:t xml:space="preserve"> заседани</w:t>
      </w:r>
      <w:r w:rsidR="00CB62C4" w:rsidRPr="00CB62C4">
        <w:t>й</w:t>
      </w:r>
      <w:r w:rsidRPr="00CB62C4">
        <w:t xml:space="preserve">, в том числе за </w:t>
      </w:r>
      <w:r w:rsidRPr="00CB62C4">
        <w:rPr>
          <w:b/>
        </w:rPr>
        <w:t>20</w:t>
      </w:r>
      <w:r w:rsidR="00CB62C4" w:rsidRPr="00CB62C4">
        <w:rPr>
          <w:b/>
        </w:rPr>
        <w:t>2</w:t>
      </w:r>
      <w:r w:rsidR="002E0DBF">
        <w:rPr>
          <w:b/>
        </w:rPr>
        <w:t>1</w:t>
      </w:r>
      <w:r w:rsidRPr="00CB62C4">
        <w:rPr>
          <w:b/>
        </w:rPr>
        <w:t xml:space="preserve"> </w:t>
      </w:r>
      <w:r w:rsidRPr="00CB62C4">
        <w:t xml:space="preserve">год - </w:t>
      </w:r>
      <w:r w:rsidR="002E0DBF">
        <w:t>8</w:t>
      </w:r>
      <w:r w:rsidRPr="00CB62C4">
        <w:t xml:space="preserve"> заседани</w:t>
      </w:r>
      <w:r w:rsidR="002E0DBF">
        <w:t xml:space="preserve">й (в </w:t>
      </w:r>
      <w:r w:rsidR="001C7852">
        <w:t xml:space="preserve"> очной и </w:t>
      </w:r>
      <w:r w:rsidR="002E0DBF">
        <w:t>заочной форм</w:t>
      </w:r>
      <w:r w:rsidR="001C7852">
        <w:t>ах</w:t>
      </w:r>
      <w:r w:rsidR="002E0DBF">
        <w:t>)</w:t>
      </w:r>
      <w:r w:rsidRPr="00CB62C4">
        <w:t>.</w:t>
      </w:r>
      <w:proofErr w:type="gramEnd"/>
    </w:p>
    <w:p w:rsidR="00881F92" w:rsidRPr="00CB62C4" w:rsidRDefault="00881F92" w:rsidP="00881F92">
      <w:pPr>
        <w:jc w:val="both"/>
        <w:rPr>
          <w:b/>
        </w:rPr>
      </w:pPr>
    </w:p>
    <w:p w:rsidR="00881F92" w:rsidRPr="00CB62C4" w:rsidRDefault="00881F92" w:rsidP="00881F92">
      <w:pPr>
        <w:ind w:firstLine="567"/>
        <w:jc w:val="both"/>
        <w:rPr>
          <w:b/>
        </w:rPr>
      </w:pPr>
      <w:r w:rsidRPr="00CB62C4">
        <w:rPr>
          <w:b/>
        </w:rPr>
        <w:t>По итогам работы Общественного совета</w:t>
      </w:r>
      <w:r w:rsidR="00CB62C4" w:rsidRPr="00CB62C4">
        <w:rPr>
          <w:b/>
        </w:rPr>
        <w:t xml:space="preserve"> за весь период деятельности </w:t>
      </w:r>
      <w:r w:rsidRPr="00CB62C4">
        <w:rPr>
          <w:b/>
        </w:rPr>
        <w:t>достигнуты следующие результаты:</w:t>
      </w:r>
    </w:p>
    <w:p w:rsidR="00881F92" w:rsidRPr="00CB62C4" w:rsidRDefault="00881F92" w:rsidP="00881F92">
      <w:pPr>
        <w:ind w:firstLine="567"/>
        <w:jc w:val="both"/>
      </w:pPr>
      <w:r w:rsidRPr="00CB62C4">
        <w:t xml:space="preserve">Активизирована работа советов многоквартирных домов города для осуществления </w:t>
      </w:r>
      <w:proofErr w:type="gramStart"/>
      <w:r w:rsidRPr="00CB62C4">
        <w:t>контроля за</w:t>
      </w:r>
      <w:proofErr w:type="gramEnd"/>
      <w:r w:rsidRPr="00CB62C4">
        <w:t xml:space="preserve"> оказанием услуг и выполнением работ по управлению многоквартирными домами.</w:t>
      </w:r>
    </w:p>
    <w:p w:rsidR="00881F92" w:rsidRPr="00CB62C4" w:rsidRDefault="00881F92" w:rsidP="00881F92">
      <w:pPr>
        <w:ind w:firstLine="567"/>
        <w:jc w:val="both"/>
      </w:pPr>
      <w:r w:rsidRPr="00CB62C4">
        <w:t>За период деятельности Общественного совета  (с учетом вопросов, поступивших в ходе отчетов управляющих компаний) поступило 2</w:t>
      </w:r>
      <w:r w:rsidR="00E44473" w:rsidRPr="00CB62C4">
        <w:t>6</w:t>
      </w:r>
      <w:r w:rsidR="006714ED" w:rsidRPr="00CB62C4">
        <w:t>6</w:t>
      </w:r>
      <w:r w:rsidRPr="00CB62C4">
        <w:t xml:space="preserve"> заявлений и предложений</w:t>
      </w:r>
      <w:r w:rsidR="006714ED" w:rsidRPr="00CB62C4">
        <w:t>.</w:t>
      </w:r>
      <w:r w:rsidRPr="00CB62C4">
        <w:t xml:space="preserve"> Все поступившие обращения рассмотрены, проработаны в кратчайшие сроки. По всем обращениям подготовлены и направлены ответы.  </w:t>
      </w:r>
      <w:r w:rsidR="00E44473" w:rsidRPr="00CB62C4">
        <w:t>Члены о</w:t>
      </w:r>
      <w:r w:rsidRPr="00CB62C4">
        <w:t>бщественн</w:t>
      </w:r>
      <w:r w:rsidR="00E44473" w:rsidRPr="00CB62C4">
        <w:t>ого</w:t>
      </w:r>
      <w:r w:rsidRPr="00CB62C4">
        <w:t xml:space="preserve"> совет</w:t>
      </w:r>
      <w:r w:rsidR="00E44473" w:rsidRPr="00CB62C4">
        <w:t>а</w:t>
      </w:r>
      <w:r w:rsidRPr="00CB62C4">
        <w:t xml:space="preserve"> </w:t>
      </w:r>
      <w:r w:rsidR="00E44473" w:rsidRPr="00CB62C4">
        <w:t>принимают участие в приемке работ</w:t>
      </w:r>
      <w:r w:rsidRPr="00CB62C4">
        <w:t xml:space="preserve"> по капитальному ремонту </w:t>
      </w:r>
      <w:r w:rsidR="00E44473" w:rsidRPr="00CB62C4">
        <w:t xml:space="preserve">городских дорог, капитальному ремонту </w:t>
      </w:r>
      <w:r w:rsidRPr="00CB62C4">
        <w:t>общего имущества в многоквартирных домах</w:t>
      </w:r>
      <w:r w:rsidR="00167A39" w:rsidRPr="00CB62C4">
        <w:t>, видеоконференциях, касающихся сферы ЖКХ.</w:t>
      </w:r>
      <w:r w:rsidR="00E44473" w:rsidRPr="00CB62C4">
        <w:t xml:space="preserve">  </w:t>
      </w:r>
      <w:r w:rsidRPr="00CB62C4">
        <w:t xml:space="preserve">Активизировано участие общественности в формировании жилищно-коммунальной политики города и общественного </w:t>
      </w:r>
      <w:proofErr w:type="gramStart"/>
      <w:r w:rsidRPr="00CB62C4">
        <w:t>контроля за</w:t>
      </w:r>
      <w:proofErr w:type="gramEnd"/>
      <w:r w:rsidRPr="00CB62C4">
        <w:t xml:space="preserve"> действиями всех субъектов реализации жилищно-коммунальной реформы. </w:t>
      </w:r>
    </w:p>
    <w:p w:rsidR="00881F92" w:rsidRPr="00CB62C4" w:rsidRDefault="00881F92" w:rsidP="00881F92">
      <w:pPr>
        <w:ind w:firstLine="567"/>
        <w:jc w:val="both"/>
      </w:pPr>
    </w:p>
    <w:p w:rsidR="00881F92" w:rsidRPr="00CB62C4" w:rsidRDefault="00881F92" w:rsidP="00881F92">
      <w:pPr>
        <w:ind w:firstLine="567"/>
        <w:jc w:val="both"/>
      </w:pPr>
      <w:r w:rsidRPr="00CB62C4">
        <w:t xml:space="preserve"> Общественным советом организовано изучение и обсуждение актуальных вопросов в сфере ЖКХ по следующим темам:</w:t>
      </w:r>
    </w:p>
    <w:p w:rsidR="00881F92" w:rsidRPr="00CB62C4" w:rsidRDefault="00881F92" w:rsidP="00881F92">
      <w:pPr>
        <w:ind w:firstLine="567"/>
        <w:jc w:val="both"/>
      </w:pPr>
      <w:r w:rsidRPr="00CB62C4">
        <w:t>-  о перечне работ, услуг, порядок расчета платы за содержание и текущий ремонт жилых помещений многоквартирного дома;</w:t>
      </w:r>
    </w:p>
    <w:p w:rsidR="00881F92" w:rsidRPr="00CB62C4" w:rsidRDefault="00881F92" w:rsidP="00881F92">
      <w:pPr>
        <w:ind w:firstLine="567"/>
        <w:jc w:val="both"/>
      </w:pPr>
      <w:r w:rsidRPr="00CB62C4">
        <w:t>-  государственное регулирование тарифов на услуги ЖКХ;</w:t>
      </w:r>
    </w:p>
    <w:p w:rsidR="00881F92" w:rsidRPr="00CB62C4" w:rsidRDefault="00881F92" w:rsidP="00881F92">
      <w:pPr>
        <w:ind w:firstLine="567"/>
        <w:jc w:val="both"/>
      </w:pPr>
      <w:r w:rsidRPr="00CB62C4">
        <w:t>- реализация региональной программы капитального ремонта общего имущества в многоквартирных домах;</w:t>
      </w:r>
    </w:p>
    <w:p w:rsidR="00881F92" w:rsidRPr="00CB62C4" w:rsidRDefault="00881F92" w:rsidP="00881F92">
      <w:pPr>
        <w:ind w:firstLine="567"/>
        <w:jc w:val="both"/>
      </w:pPr>
      <w:r w:rsidRPr="00CB62C4">
        <w:t>- порядок утверждения нормативов потребления коммунальных услуг и сроки их ввода;</w:t>
      </w:r>
    </w:p>
    <w:p w:rsidR="00881F92" w:rsidRPr="00CB62C4" w:rsidRDefault="00881F92" w:rsidP="00881F92">
      <w:pPr>
        <w:ind w:firstLine="567"/>
        <w:jc w:val="both"/>
      </w:pPr>
      <w:r w:rsidRPr="00CB62C4">
        <w:t>- влияние изменения нормативов потребления коммунальных услуг на плату граждан и финансовое состояние организации коммунального комплекса</w:t>
      </w:r>
      <w:r w:rsidR="00294C0F" w:rsidRPr="00CB62C4">
        <w:t>;</w:t>
      </w:r>
    </w:p>
    <w:p w:rsidR="00294C0F" w:rsidRDefault="00294C0F" w:rsidP="00881F92">
      <w:pPr>
        <w:ind w:firstLine="567"/>
        <w:jc w:val="both"/>
      </w:pPr>
      <w:r w:rsidRPr="00CB62C4">
        <w:t>- реализация Федерального закона №458-ФЗ от 29.12.2014 в области обращения с твердыми коммунальными отходами</w:t>
      </w:r>
      <w:r w:rsidR="00826339" w:rsidRPr="00CB62C4">
        <w:t xml:space="preserve"> и реализация закона Ханты-Мансийского автономного округа – Югры от 17.11.2016 №79-оз «О наделении органов местного самоуправления муниципальных образований ХМАО-Югры отдельными государственными полномочиями в сфере обращения с твердыми коммунальными отходами»</w:t>
      </w:r>
      <w:r w:rsidR="002E0DBF">
        <w:t>;</w:t>
      </w:r>
    </w:p>
    <w:p w:rsidR="002E0DBF" w:rsidRDefault="002E0DBF" w:rsidP="00881F92">
      <w:pPr>
        <w:ind w:firstLine="567"/>
        <w:jc w:val="both"/>
      </w:pPr>
      <w:r>
        <w:t xml:space="preserve"> - организация информационно-просветительской работы с работниками по формированию ответственного и гуманного отношения к животным.</w:t>
      </w:r>
    </w:p>
    <w:p w:rsidR="00022E6E" w:rsidRDefault="002E0DBF" w:rsidP="00881F92">
      <w:pPr>
        <w:ind w:firstLine="567"/>
        <w:jc w:val="both"/>
      </w:pPr>
      <w:r>
        <w:t xml:space="preserve"> </w:t>
      </w:r>
      <w:r w:rsidR="00294C0F" w:rsidRPr="007669B2">
        <w:t>В 20</w:t>
      </w:r>
      <w:r w:rsidR="00CB62C4" w:rsidRPr="007669B2">
        <w:t>2</w:t>
      </w:r>
      <w:r>
        <w:t>1</w:t>
      </w:r>
      <w:r w:rsidR="00294C0F" w:rsidRPr="007669B2">
        <w:t xml:space="preserve"> году Общественным советом </w:t>
      </w:r>
      <w:r w:rsidR="00022E6E" w:rsidRPr="007669B2">
        <w:t xml:space="preserve">были рассмотрены </w:t>
      </w:r>
      <w:r w:rsidR="00294C0F" w:rsidRPr="007669B2">
        <w:t xml:space="preserve">и одобрены </w:t>
      </w:r>
      <w:r w:rsidR="00022E6E" w:rsidRPr="007669B2">
        <w:t xml:space="preserve">следующие проекты </w:t>
      </w:r>
      <w:r w:rsidR="00294C0F" w:rsidRPr="007669B2">
        <w:t xml:space="preserve">окружных </w:t>
      </w:r>
      <w:r w:rsidR="001C7852">
        <w:t xml:space="preserve">и муниципальных </w:t>
      </w:r>
      <w:r w:rsidR="00022E6E" w:rsidRPr="007669B2">
        <w:t>нормативно-правовых актов:</w:t>
      </w:r>
    </w:p>
    <w:p w:rsidR="002E0DBF" w:rsidRDefault="001C7852" w:rsidP="00881F92">
      <w:pPr>
        <w:ind w:firstLine="567"/>
        <w:jc w:val="both"/>
      </w:pPr>
      <w:r>
        <w:t>1.</w:t>
      </w:r>
      <w:r w:rsidR="002E0DBF">
        <w:t xml:space="preserve"> </w:t>
      </w:r>
      <w:r>
        <w:t>Р</w:t>
      </w:r>
      <w:r w:rsidR="002E0DBF">
        <w:t>ассмотрение проектов нормативных правовых актов Ханты-Мансийского автономного округа – Югры в области обращения с животными</w:t>
      </w:r>
      <w:r>
        <w:t>:</w:t>
      </w:r>
    </w:p>
    <w:p w:rsidR="001C7852" w:rsidRPr="001C7852" w:rsidRDefault="001C7852" w:rsidP="001C7852">
      <w:pPr>
        <w:ind w:left="142"/>
        <w:jc w:val="both"/>
      </w:pPr>
      <w:r>
        <w:t xml:space="preserve">       - </w:t>
      </w:r>
      <w:r w:rsidRPr="001C7852">
        <w:t>Проект распоряжения Правительства Ханты-Мансийского автономного округа – Югры «Об утверждении Плана мероприятий (дорожной карты) по профилактике и ликвидации бешенства среди животных на территории Ханты-Мансийского автономного округа–Югры».</w:t>
      </w:r>
    </w:p>
    <w:p w:rsidR="001C7852" w:rsidRPr="001C7852" w:rsidRDefault="001C7852" w:rsidP="007248BF">
      <w:pPr>
        <w:jc w:val="both"/>
      </w:pPr>
      <w:r>
        <w:lastRenderedPageBreak/>
        <w:t xml:space="preserve">      -  </w:t>
      </w:r>
      <w:r w:rsidRPr="001C7852">
        <w:t xml:space="preserve">Проект распоряжения Правительства Ханты-Мансийского автономного округа – Югры «Об утверждении  Плана мероприятий (дорожной карты) в области обращения с домашними животными на территории Ханты-Мансийского автономного округа </w:t>
      </w:r>
      <w:proofErr w:type="gramStart"/>
      <w:r w:rsidRPr="001C7852">
        <w:t>–Ю</w:t>
      </w:r>
      <w:proofErr w:type="gramEnd"/>
      <w:r w:rsidRPr="001C7852">
        <w:t>гры на 2021-2026годы».</w:t>
      </w:r>
    </w:p>
    <w:p w:rsidR="001C7852" w:rsidRPr="001C7852" w:rsidRDefault="001C7852" w:rsidP="007248BF">
      <w:pPr>
        <w:jc w:val="both"/>
      </w:pPr>
      <w:r>
        <w:t xml:space="preserve">      - </w:t>
      </w:r>
      <w:r w:rsidRPr="001C7852">
        <w:t>Проект закона Ханты-Мансийского автономного округа–</w:t>
      </w:r>
      <w:proofErr w:type="spellStart"/>
      <w:r w:rsidRPr="001C7852">
        <w:t>Югры</w:t>
      </w:r>
      <w:proofErr w:type="gramStart"/>
      <w:r w:rsidRPr="001C7852">
        <w:t>«О</w:t>
      </w:r>
      <w:proofErr w:type="spellEnd"/>
      <w:proofErr w:type="gramEnd"/>
      <w:r w:rsidRPr="001C7852">
        <w:t xml:space="preserve"> внесении изменений в закон «Об административных правонарушениях» Ханты-Мансийского автономного округа –Югры.</w:t>
      </w:r>
    </w:p>
    <w:p w:rsidR="001C7852" w:rsidRPr="001C7852" w:rsidRDefault="001C7852" w:rsidP="007248BF">
      <w:pPr>
        <w:jc w:val="both"/>
      </w:pPr>
      <w:r>
        <w:t xml:space="preserve">        - </w:t>
      </w:r>
      <w:r w:rsidRPr="001C7852">
        <w:t xml:space="preserve">Проект постановления Правительства Ханты-Мансийского автономного  округа </w:t>
      </w:r>
      <w:proofErr w:type="gramStart"/>
      <w:r w:rsidRPr="001C7852">
        <w:t>–Ю</w:t>
      </w:r>
      <w:proofErr w:type="gramEnd"/>
      <w:r w:rsidRPr="001C7852">
        <w:t>гры «О  внесении  изменения  в  приложение к  постановлению Правительства  Ханты-Мансийского  автономного округа –Югры от 10 апреля 2020 года № 118-п «О порядке организации деятельности приютов для животных в Ханты-Мансийском автономном округе –Югре и нормах содержания животных в них».</w:t>
      </w:r>
    </w:p>
    <w:p w:rsidR="001C7852" w:rsidRPr="001C7852" w:rsidRDefault="001C7852" w:rsidP="007248BF">
      <w:pPr>
        <w:jc w:val="both"/>
      </w:pPr>
      <w:r>
        <w:t xml:space="preserve">        - </w:t>
      </w:r>
      <w:r w:rsidRPr="001C7852">
        <w:t xml:space="preserve">Проект постановления Правительства Ханты-Мансийского автономного округа-Югры «О временных правилах содержания домашних животных на территории Ханты-Мансийского автономного округа </w:t>
      </w:r>
      <w:proofErr w:type="gramStart"/>
      <w:r w:rsidRPr="001C7852">
        <w:t>–Ю</w:t>
      </w:r>
      <w:proofErr w:type="gramEnd"/>
      <w:r w:rsidRPr="001C7852">
        <w:t>гры».</w:t>
      </w:r>
    </w:p>
    <w:p w:rsidR="001C7852" w:rsidRDefault="001C7852" w:rsidP="007248BF">
      <w:pPr>
        <w:jc w:val="both"/>
      </w:pPr>
      <w:r>
        <w:t xml:space="preserve">        - </w:t>
      </w:r>
      <w:r w:rsidRPr="001C7852">
        <w:t xml:space="preserve">Проект постановления Правительства Ханты-Мансийского автономного округа – Югры «Об автоматизированной информационной системе «Единая информационная база домашних животных и животных без владельцев Ханты-Мансийского автономного округа </w:t>
      </w:r>
      <w:proofErr w:type="gramStart"/>
      <w:r w:rsidRPr="001C7852">
        <w:t>–Ю</w:t>
      </w:r>
      <w:proofErr w:type="gramEnd"/>
      <w:r w:rsidRPr="001C7852">
        <w:t>гры».</w:t>
      </w:r>
    </w:p>
    <w:p w:rsidR="001C7852" w:rsidRPr="001C7852" w:rsidRDefault="001C7852" w:rsidP="007248BF">
      <w:pPr>
        <w:jc w:val="both"/>
      </w:pPr>
      <w:r>
        <w:t xml:space="preserve">        2.  Рассмотрение и обсуждение проекта постановления администрации города </w:t>
      </w:r>
      <w:proofErr w:type="spellStart"/>
      <w:r>
        <w:t>Урай</w:t>
      </w:r>
      <w:proofErr w:type="spellEnd"/>
      <w:r>
        <w:t xml:space="preserve"> «Об утверждении плана мероприятий, (комплекса мер), направленного на недопущение роста задолженности организаций коммунального комплекса и потребителей коммунальных услуг (ресурсов)» </w:t>
      </w:r>
    </w:p>
    <w:p w:rsidR="001C7852" w:rsidRDefault="001C7852" w:rsidP="007248BF">
      <w:pPr>
        <w:ind w:firstLine="567"/>
        <w:jc w:val="both"/>
      </w:pPr>
      <w:r>
        <w:t xml:space="preserve"> 3. Согласование регионального стандарта стоимости ЖКУ на территории Ханты-Мансийского автономного округа – Югры.</w:t>
      </w:r>
    </w:p>
    <w:p w:rsidR="002E0981" w:rsidRPr="007669B2" w:rsidRDefault="001C7852" w:rsidP="007248BF">
      <w:pPr>
        <w:ind w:firstLine="567"/>
        <w:jc w:val="both"/>
      </w:pPr>
      <w:r>
        <w:t xml:space="preserve"> 4. </w:t>
      </w:r>
      <w:r w:rsidR="000E620D">
        <w:t>П</w:t>
      </w:r>
      <w:r w:rsidR="00236C8A" w:rsidRPr="007669B2">
        <w:t>роект постановления Губернатора Ханты-Мансийского автономного округа – Югры «О внесении изменений в постановление Губернатора Ханты-Мансийского автономного округа – Югры от 14 декабря 2018 года №127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– Югры на 2019-2023 годы»</w:t>
      </w:r>
    </w:p>
    <w:p w:rsidR="00236C8A" w:rsidRDefault="007248BF" w:rsidP="00881F92">
      <w:pPr>
        <w:ind w:firstLine="567"/>
        <w:jc w:val="both"/>
      </w:pPr>
      <w:r>
        <w:t xml:space="preserve">  5. </w:t>
      </w:r>
      <w:proofErr w:type="gramStart"/>
      <w:r>
        <w:t>П</w:t>
      </w:r>
      <w:r w:rsidR="00236C8A" w:rsidRPr="007669B2">
        <w:t>роект распоряжения Правительства Ханты-Мансийского автономного округа – Югры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</w:t>
      </w:r>
      <w:r w:rsidR="000E620D">
        <w:t>2</w:t>
      </w:r>
      <w:r w:rsidR="00236C8A" w:rsidRPr="007669B2">
        <w:t>-2023 годы и утверждения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 на 202</w:t>
      </w:r>
      <w:r w:rsidR="000E620D">
        <w:t>2</w:t>
      </w:r>
      <w:r w:rsidR="00236C8A" w:rsidRPr="007669B2">
        <w:t xml:space="preserve"> год</w:t>
      </w:r>
      <w:r w:rsidR="002E0981" w:rsidRPr="007669B2">
        <w:t>».</w:t>
      </w:r>
      <w:proofErr w:type="gramEnd"/>
    </w:p>
    <w:p w:rsidR="007248BF" w:rsidRPr="007669B2" w:rsidRDefault="007248BF" w:rsidP="007248BF">
      <w:pPr>
        <w:ind w:firstLine="567"/>
        <w:jc w:val="both"/>
      </w:pPr>
      <w:r>
        <w:t xml:space="preserve">Общественным советом по вопросам ЖКХ </w:t>
      </w:r>
      <w:bookmarkStart w:id="0" w:name="_GoBack"/>
      <w:bookmarkEnd w:id="0"/>
      <w:r>
        <w:t>были заслушаны отчеты управляющих компаний ООО «Эксперт», ООО «Эдельвейс», ООО «</w:t>
      </w:r>
      <w:proofErr w:type="spellStart"/>
      <w:r>
        <w:t>Торум</w:t>
      </w:r>
      <w:proofErr w:type="spellEnd"/>
      <w:r>
        <w:t>», ООО «Развитие», ООО «Престиж» по итогам деятельности 2020 года.</w:t>
      </w:r>
    </w:p>
    <w:p w:rsidR="00881F92" w:rsidRDefault="00881F92" w:rsidP="00881F92">
      <w:pPr>
        <w:ind w:firstLine="567"/>
        <w:jc w:val="both"/>
      </w:pPr>
      <w:r w:rsidRPr="006B56CF">
        <w:t xml:space="preserve">Представители Общественного совета по вопросам ЖКХ города </w:t>
      </w:r>
      <w:proofErr w:type="spellStart"/>
      <w:r w:rsidRPr="006B56CF">
        <w:t>Урай</w:t>
      </w:r>
      <w:proofErr w:type="spellEnd"/>
      <w:r w:rsidRPr="006B56CF">
        <w:t xml:space="preserve"> в 20</w:t>
      </w:r>
      <w:r w:rsidR="007669B2" w:rsidRPr="006B56CF">
        <w:t>2</w:t>
      </w:r>
      <w:r w:rsidR="000E620D">
        <w:t>1</w:t>
      </w:r>
      <w:r w:rsidRPr="006B56CF">
        <w:t xml:space="preserve"> году в целях контроля участвовали:</w:t>
      </w:r>
    </w:p>
    <w:p w:rsidR="00853B02" w:rsidRPr="006B56CF" w:rsidRDefault="00853B02" w:rsidP="00881F92">
      <w:pPr>
        <w:ind w:firstLine="567"/>
        <w:jc w:val="both"/>
      </w:pPr>
      <w:r w:rsidRPr="006B56CF">
        <w:t xml:space="preserve">- </w:t>
      </w:r>
      <w:r w:rsidR="008253A8" w:rsidRPr="006B56CF">
        <w:t xml:space="preserve">в </w:t>
      </w:r>
      <w:r w:rsidR="006B56CF" w:rsidRPr="006B56CF">
        <w:t xml:space="preserve"> </w:t>
      </w:r>
      <w:r w:rsidRPr="006B56CF">
        <w:t xml:space="preserve">комиссиях по выполнению работ по капитальному ремонту сетей водоснабжения и водоотведения в рамках подготовке коммунальных объектов к осенне-зимнему периоду;  </w:t>
      </w:r>
    </w:p>
    <w:p w:rsidR="00881F92" w:rsidRPr="006B56CF" w:rsidRDefault="00881F92" w:rsidP="00881F92">
      <w:pPr>
        <w:ind w:firstLine="567"/>
        <w:jc w:val="both"/>
      </w:pPr>
      <w:r w:rsidRPr="006B56CF">
        <w:t>- в  комиссиях по приемке выполненных работ благоустройства территорий города и ремонта автомобильных городских дорог;</w:t>
      </w:r>
    </w:p>
    <w:p w:rsidR="00881F92" w:rsidRDefault="00881F92" w:rsidP="00881F92">
      <w:pPr>
        <w:ind w:firstLine="567"/>
        <w:jc w:val="both"/>
      </w:pPr>
      <w:r w:rsidRPr="007669B2">
        <w:t xml:space="preserve"> -в проверк</w:t>
      </w:r>
      <w:r w:rsidR="002E0981" w:rsidRPr="007669B2">
        <w:t>е</w:t>
      </w:r>
      <w:r w:rsidRPr="007669B2">
        <w:t xml:space="preserve"> технического состояния детских игровых площадок города по соблюдению правил и стандартов оборудования и эксплуатации.</w:t>
      </w:r>
    </w:p>
    <w:sectPr w:rsidR="00881F92" w:rsidSect="00544EF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30091"/>
    <w:multiLevelType w:val="hybridMultilevel"/>
    <w:tmpl w:val="05D66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1E"/>
    <w:rsid w:val="0002104F"/>
    <w:rsid w:val="00022E6E"/>
    <w:rsid w:val="00034327"/>
    <w:rsid w:val="0006394E"/>
    <w:rsid w:val="000C76BA"/>
    <w:rsid w:val="000E620D"/>
    <w:rsid w:val="00131610"/>
    <w:rsid w:val="00167A39"/>
    <w:rsid w:val="001C7852"/>
    <w:rsid w:val="002348D8"/>
    <w:rsid w:val="00236C8A"/>
    <w:rsid w:val="00267100"/>
    <w:rsid w:val="00294C0F"/>
    <w:rsid w:val="002E0981"/>
    <w:rsid w:val="002E0DBF"/>
    <w:rsid w:val="00356B1E"/>
    <w:rsid w:val="00357A6A"/>
    <w:rsid w:val="003F39E2"/>
    <w:rsid w:val="00420BF7"/>
    <w:rsid w:val="00424F94"/>
    <w:rsid w:val="0048713A"/>
    <w:rsid w:val="004E05BF"/>
    <w:rsid w:val="00544EF7"/>
    <w:rsid w:val="00552E3B"/>
    <w:rsid w:val="005E69E7"/>
    <w:rsid w:val="006714ED"/>
    <w:rsid w:val="00682425"/>
    <w:rsid w:val="006B56CF"/>
    <w:rsid w:val="007248BF"/>
    <w:rsid w:val="0072635A"/>
    <w:rsid w:val="007659BE"/>
    <w:rsid w:val="007669B2"/>
    <w:rsid w:val="007700DD"/>
    <w:rsid w:val="00773E25"/>
    <w:rsid w:val="00791EC8"/>
    <w:rsid w:val="007A2980"/>
    <w:rsid w:val="007C01F1"/>
    <w:rsid w:val="007D2190"/>
    <w:rsid w:val="008253A8"/>
    <w:rsid w:val="00826339"/>
    <w:rsid w:val="00853B02"/>
    <w:rsid w:val="00881F92"/>
    <w:rsid w:val="008A7618"/>
    <w:rsid w:val="008C4A7E"/>
    <w:rsid w:val="00927A59"/>
    <w:rsid w:val="00984E14"/>
    <w:rsid w:val="00C95FB8"/>
    <w:rsid w:val="00CB62C4"/>
    <w:rsid w:val="00CE1A1E"/>
    <w:rsid w:val="00E44473"/>
    <w:rsid w:val="00E82696"/>
    <w:rsid w:val="00F33E1E"/>
    <w:rsid w:val="00FA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A1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E1A1E"/>
    <w:pPr>
      <w:keepNext/>
      <w:jc w:val="center"/>
      <w:outlineLvl w:val="0"/>
    </w:pPr>
    <w:rPr>
      <w:sz w:val="32"/>
      <w:szCs w:val="20"/>
    </w:rPr>
  </w:style>
  <w:style w:type="paragraph" w:styleId="4">
    <w:name w:val="heading 4"/>
    <w:basedOn w:val="a"/>
    <w:next w:val="a"/>
    <w:qFormat/>
    <w:rsid w:val="006824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E1A1E"/>
    <w:rPr>
      <w:rFonts w:eastAsia="Calibri"/>
      <w:sz w:val="32"/>
      <w:lang w:val="ru-RU" w:eastAsia="ru-RU" w:bidi="ar-SA"/>
    </w:rPr>
  </w:style>
  <w:style w:type="paragraph" w:styleId="3">
    <w:name w:val="Body Text 3"/>
    <w:basedOn w:val="a"/>
    <w:link w:val="30"/>
    <w:rsid w:val="00CE1A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E1A1E"/>
    <w:rPr>
      <w:rFonts w:eastAsia="Calibri"/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CE1A1E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locked/>
    <w:rsid w:val="00CE1A1E"/>
    <w:rPr>
      <w:rFonts w:eastAsia="Calibri"/>
      <w:sz w:val="32"/>
      <w:lang w:val="ru-RU" w:eastAsia="ru-RU" w:bidi="ar-SA"/>
    </w:rPr>
  </w:style>
  <w:style w:type="paragraph" w:customStyle="1" w:styleId="11">
    <w:name w:val="1 Знак Знак Знак Знак Знак Знак Знак"/>
    <w:basedOn w:val="a"/>
    <w:rsid w:val="006824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1C7852"/>
    <w:pPr>
      <w:spacing w:after="200" w:line="276" w:lineRule="auto"/>
      <w:ind w:left="720"/>
      <w:contextualSpacing/>
    </w:pPr>
    <w:rPr>
      <w:rFonts w:ascii="PT Astra Serif" w:eastAsiaTheme="minorHAnsi" w:hAnsi="PT Astra Serif" w:cstheme="minorBidi"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A1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E1A1E"/>
    <w:pPr>
      <w:keepNext/>
      <w:jc w:val="center"/>
      <w:outlineLvl w:val="0"/>
    </w:pPr>
    <w:rPr>
      <w:sz w:val="32"/>
      <w:szCs w:val="20"/>
    </w:rPr>
  </w:style>
  <w:style w:type="paragraph" w:styleId="4">
    <w:name w:val="heading 4"/>
    <w:basedOn w:val="a"/>
    <w:next w:val="a"/>
    <w:qFormat/>
    <w:rsid w:val="006824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E1A1E"/>
    <w:rPr>
      <w:rFonts w:eastAsia="Calibri"/>
      <w:sz w:val="32"/>
      <w:lang w:val="ru-RU" w:eastAsia="ru-RU" w:bidi="ar-SA"/>
    </w:rPr>
  </w:style>
  <w:style w:type="paragraph" w:styleId="3">
    <w:name w:val="Body Text 3"/>
    <w:basedOn w:val="a"/>
    <w:link w:val="30"/>
    <w:rsid w:val="00CE1A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E1A1E"/>
    <w:rPr>
      <w:rFonts w:eastAsia="Calibri"/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CE1A1E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locked/>
    <w:rsid w:val="00CE1A1E"/>
    <w:rPr>
      <w:rFonts w:eastAsia="Calibri"/>
      <w:sz w:val="32"/>
      <w:lang w:val="ru-RU" w:eastAsia="ru-RU" w:bidi="ar-SA"/>
    </w:rPr>
  </w:style>
  <w:style w:type="paragraph" w:customStyle="1" w:styleId="11">
    <w:name w:val="1 Знак Знак Знак Знак Знак Знак Знак"/>
    <w:basedOn w:val="a"/>
    <w:rsid w:val="006824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1C7852"/>
    <w:pPr>
      <w:spacing w:after="200" w:line="276" w:lineRule="auto"/>
      <w:ind w:left="720"/>
      <w:contextualSpacing/>
    </w:pPr>
    <w:rPr>
      <w:rFonts w:ascii="PT Astra Serif" w:eastAsiaTheme="minorHAnsi" w:hAnsi="PT Astra Serif" w:cstheme="minorBidi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2022-04-14T09:43:00Z</cp:lastPrinted>
  <dcterms:created xsi:type="dcterms:W3CDTF">2022-04-14T09:21:00Z</dcterms:created>
  <dcterms:modified xsi:type="dcterms:W3CDTF">2022-04-14T09:51:00Z</dcterms:modified>
</cp:coreProperties>
</file>