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E98" w:rsidRDefault="00435E98" w:rsidP="00435E98">
      <w:pPr>
        <w:autoSpaceDE w:val="0"/>
        <w:autoSpaceDN w:val="0"/>
        <w:adjustRightInd w:val="0"/>
        <w:jc w:val="center"/>
      </w:pPr>
      <w:r>
        <w:t>Пояснительная записка</w:t>
      </w:r>
    </w:p>
    <w:p w:rsidR="00435E98" w:rsidRDefault="00435E98" w:rsidP="00435E98">
      <w:pPr>
        <w:autoSpaceDE w:val="0"/>
        <w:autoSpaceDN w:val="0"/>
        <w:adjustRightInd w:val="0"/>
        <w:jc w:val="center"/>
      </w:pPr>
      <w:r>
        <w:t xml:space="preserve">к проекту приказа </w:t>
      </w:r>
      <w:r w:rsidRPr="00D31D71">
        <w:t xml:space="preserve">Комитета по финансам администрации города </w:t>
      </w:r>
      <w:proofErr w:type="spellStart"/>
      <w:r w:rsidRPr="00D31D71">
        <w:t>Урай</w:t>
      </w:r>
      <w:proofErr w:type="spellEnd"/>
    </w:p>
    <w:p w:rsidR="00435E98" w:rsidRDefault="00435E98" w:rsidP="00435E98">
      <w:pPr>
        <w:autoSpaceDE w:val="0"/>
        <w:autoSpaceDN w:val="0"/>
        <w:adjustRightInd w:val="0"/>
        <w:jc w:val="center"/>
      </w:pPr>
      <w:r>
        <w:t>«</w:t>
      </w:r>
      <w:r w:rsidRPr="00D31D71">
        <w:t>О внесени</w:t>
      </w:r>
      <w:r>
        <w:t>и</w:t>
      </w:r>
      <w:r w:rsidRPr="00D31D71">
        <w:t xml:space="preserve"> изменений </w:t>
      </w:r>
      <w:r>
        <w:t xml:space="preserve">в </w:t>
      </w:r>
      <w:r w:rsidRPr="00D31D71">
        <w:t xml:space="preserve">приказ Комитета по финансам администрации города </w:t>
      </w:r>
      <w:proofErr w:type="spellStart"/>
      <w:r w:rsidRPr="00D31D71">
        <w:t>Урай</w:t>
      </w:r>
      <w:proofErr w:type="spellEnd"/>
    </w:p>
    <w:p w:rsidR="00435E98" w:rsidRDefault="00435E98" w:rsidP="00435E98">
      <w:pPr>
        <w:autoSpaceDE w:val="0"/>
        <w:autoSpaceDN w:val="0"/>
        <w:adjustRightInd w:val="0"/>
        <w:jc w:val="center"/>
      </w:pPr>
      <w:r w:rsidRPr="00D31D71">
        <w:t>от 2</w:t>
      </w:r>
      <w:r>
        <w:t>9</w:t>
      </w:r>
      <w:r w:rsidRPr="00D31D71">
        <w:t>.0</w:t>
      </w:r>
      <w:r>
        <w:t>4</w:t>
      </w:r>
      <w:r w:rsidRPr="00D31D71">
        <w:t>.20</w:t>
      </w:r>
      <w:r>
        <w:t>20</w:t>
      </w:r>
      <w:r w:rsidRPr="00D31D71">
        <w:t xml:space="preserve"> №</w:t>
      </w:r>
      <w:r>
        <w:t>21</w:t>
      </w:r>
      <w:r w:rsidRPr="00D31D71">
        <w:t>-</w:t>
      </w:r>
      <w:r>
        <w:t>о</w:t>
      </w:r>
      <w:r w:rsidRPr="00D31D71">
        <w:t>д</w:t>
      </w:r>
      <w:r>
        <w:t>» (далее проект)</w:t>
      </w:r>
    </w:p>
    <w:p w:rsidR="00435E98" w:rsidRDefault="00435E98" w:rsidP="00435E98">
      <w:pPr>
        <w:autoSpaceDE w:val="0"/>
        <w:autoSpaceDN w:val="0"/>
        <w:adjustRightInd w:val="0"/>
        <w:jc w:val="both"/>
      </w:pPr>
    </w:p>
    <w:p w:rsidR="00435E98" w:rsidRDefault="00435E98" w:rsidP="00435E98">
      <w:pPr>
        <w:autoSpaceDE w:val="0"/>
        <w:autoSpaceDN w:val="0"/>
        <w:adjustRightInd w:val="0"/>
        <w:ind w:firstLine="708"/>
        <w:jc w:val="both"/>
      </w:pPr>
      <w:r>
        <w:t xml:space="preserve">В соответствии с решением Думы города </w:t>
      </w:r>
      <w:proofErr w:type="spellStart"/>
      <w:r>
        <w:t>Урай</w:t>
      </w:r>
      <w:proofErr w:type="spellEnd"/>
      <w:r>
        <w:t xml:space="preserve"> от 24 сентября 2020 года №62 «О внесении изменений в устав города </w:t>
      </w:r>
      <w:proofErr w:type="spellStart"/>
      <w:r>
        <w:t>Урай</w:t>
      </w:r>
      <w:proofErr w:type="spellEnd"/>
      <w:r>
        <w:t>» п</w:t>
      </w:r>
      <w:r w:rsidRPr="007135E1">
        <w:t xml:space="preserve">редставленным </w:t>
      </w:r>
      <w:r>
        <w:t>п</w:t>
      </w:r>
      <w:r w:rsidRPr="007135E1">
        <w:t xml:space="preserve">роектом </w:t>
      </w:r>
      <w:r>
        <w:t>в заголовке, тексте приказа, в приложении к приказу, в наименовании приложения 1 к Порядку в новой редакции излагается наименование муниципального образования:</w:t>
      </w:r>
    </w:p>
    <w:p w:rsidR="00435E98" w:rsidRDefault="00435E98" w:rsidP="00435E98">
      <w:pPr>
        <w:autoSpaceDE w:val="0"/>
        <w:autoSpaceDN w:val="0"/>
        <w:adjustRightInd w:val="0"/>
        <w:ind w:firstLine="708"/>
        <w:jc w:val="both"/>
      </w:pPr>
    </w:p>
    <w:tbl>
      <w:tblPr>
        <w:tblStyle w:val="a3"/>
        <w:tblW w:w="0" w:type="auto"/>
        <w:tblLook w:val="04A0"/>
      </w:tblPr>
      <w:tblGrid>
        <w:gridCol w:w="4644"/>
        <w:gridCol w:w="5387"/>
      </w:tblGrid>
      <w:tr w:rsidR="00435E98" w:rsidTr="00435E98">
        <w:trPr>
          <w:trHeight w:val="307"/>
        </w:trPr>
        <w:tc>
          <w:tcPr>
            <w:tcW w:w="4644" w:type="dxa"/>
          </w:tcPr>
          <w:p w:rsidR="00435E98" w:rsidRDefault="00435E98" w:rsidP="00435E98">
            <w:pPr>
              <w:autoSpaceDE w:val="0"/>
              <w:autoSpaceDN w:val="0"/>
              <w:adjustRightInd w:val="0"/>
              <w:jc w:val="center"/>
              <w:rPr>
                <w:rFonts w:eastAsiaTheme="minorHAnsi"/>
                <w:lang w:eastAsia="en-US"/>
              </w:rPr>
            </w:pPr>
            <w:r>
              <w:rPr>
                <w:rFonts w:eastAsiaTheme="minorHAnsi"/>
                <w:lang w:eastAsia="en-US"/>
              </w:rPr>
              <w:t xml:space="preserve">Действующая редакция </w:t>
            </w:r>
          </w:p>
        </w:tc>
        <w:tc>
          <w:tcPr>
            <w:tcW w:w="5387" w:type="dxa"/>
          </w:tcPr>
          <w:p w:rsidR="00435E98" w:rsidRDefault="00435E98" w:rsidP="00435E98">
            <w:pPr>
              <w:autoSpaceDE w:val="0"/>
              <w:autoSpaceDN w:val="0"/>
              <w:adjustRightInd w:val="0"/>
              <w:jc w:val="center"/>
              <w:rPr>
                <w:rFonts w:eastAsiaTheme="minorHAnsi"/>
                <w:lang w:eastAsia="en-US"/>
              </w:rPr>
            </w:pPr>
            <w:r>
              <w:rPr>
                <w:rFonts w:eastAsiaTheme="minorHAnsi"/>
                <w:lang w:eastAsia="en-US"/>
              </w:rPr>
              <w:t>Редакция с учетом изменения</w:t>
            </w:r>
          </w:p>
        </w:tc>
      </w:tr>
      <w:tr w:rsidR="00435E98" w:rsidRPr="00060DE1" w:rsidTr="00435E98">
        <w:trPr>
          <w:trHeight w:val="737"/>
        </w:trPr>
        <w:tc>
          <w:tcPr>
            <w:tcW w:w="4644" w:type="dxa"/>
            <w:vAlign w:val="center"/>
          </w:tcPr>
          <w:p w:rsidR="00435E98" w:rsidRPr="00060DE1" w:rsidRDefault="00435E98" w:rsidP="00435E98">
            <w:pPr>
              <w:autoSpaceDE w:val="0"/>
              <w:autoSpaceDN w:val="0"/>
              <w:adjustRightInd w:val="0"/>
              <w:rPr>
                <w:rFonts w:eastAsiaTheme="minorHAnsi"/>
                <w:lang w:eastAsia="en-US"/>
              </w:rPr>
            </w:pPr>
            <w:r w:rsidRPr="00DA43F9">
              <w:t xml:space="preserve">городского округа город </w:t>
            </w:r>
            <w:proofErr w:type="spellStart"/>
            <w:r w:rsidRPr="00DA43F9">
              <w:t>Урай</w:t>
            </w:r>
            <w:proofErr w:type="spellEnd"/>
          </w:p>
        </w:tc>
        <w:tc>
          <w:tcPr>
            <w:tcW w:w="5387" w:type="dxa"/>
            <w:vAlign w:val="center"/>
          </w:tcPr>
          <w:p w:rsidR="00435E98" w:rsidRPr="00060DE1" w:rsidRDefault="00435E98" w:rsidP="00435E98">
            <w:pPr>
              <w:autoSpaceDE w:val="0"/>
              <w:autoSpaceDN w:val="0"/>
              <w:adjustRightInd w:val="0"/>
              <w:rPr>
                <w:rFonts w:eastAsiaTheme="minorHAnsi"/>
                <w:i/>
                <w:lang w:eastAsia="en-US"/>
              </w:rPr>
            </w:pPr>
            <w:r w:rsidRPr="003D4F04">
              <w:t xml:space="preserve">городского округа </w:t>
            </w:r>
            <w:proofErr w:type="spellStart"/>
            <w:r w:rsidRPr="003D4F04">
              <w:t>Урай</w:t>
            </w:r>
            <w:proofErr w:type="spellEnd"/>
            <w:r>
              <w:t xml:space="preserve"> Ханты-Мансийского автономного округа - </w:t>
            </w:r>
            <w:proofErr w:type="spellStart"/>
            <w:r>
              <w:t>Югры</w:t>
            </w:r>
            <w:proofErr w:type="spellEnd"/>
          </w:p>
        </w:tc>
      </w:tr>
    </w:tbl>
    <w:p w:rsidR="00435E98" w:rsidRDefault="00435E98" w:rsidP="00435E98">
      <w:pPr>
        <w:autoSpaceDE w:val="0"/>
        <w:autoSpaceDN w:val="0"/>
        <w:adjustRightInd w:val="0"/>
        <w:ind w:firstLine="708"/>
        <w:jc w:val="both"/>
      </w:pPr>
    </w:p>
    <w:p w:rsidR="00435E98" w:rsidRDefault="00435E98" w:rsidP="00435E98">
      <w:pPr>
        <w:autoSpaceDE w:val="0"/>
        <w:autoSpaceDN w:val="0"/>
        <w:adjustRightInd w:val="0"/>
        <w:ind w:firstLine="708"/>
        <w:jc w:val="both"/>
      </w:pPr>
      <w:r>
        <w:t>Вносится уточнение в</w:t>
      </w:r>
      <w:r w:rsidRPr="000B34A3">
        <w:t xml:space="preserve"> пункт 1</w:t>
      </w:r>
      <w:r>
        <w:t xml:space="preserve">9 Приложения </w:t>
      </w:r>
      <w:proofErr w:type="gramStart"/>
      <w:r>
        <w:t>к</w:t>
      </w:r>
      <w:proofErr w:type="gramEnd"/>
      <w:r>
        <w:t xml:space="preserve"> </w:t>
      </w:r>
      <w:hyperlink r:id="rId4" w:history="1">
        <w:r>
          <w:t>П</w:t>
        </w:r>
        <w:r w:rsidRPr="00DA43F9">
          <w:t>риказ</w:t>
        </w:r>
      </w:hyperlink>
      <w:r>
        <w:t>у:</w:t>
      </w:r>
    </w:p>
    <w:p w:rsidR="00435E98" w:rsidRDefault="00435E98" w:rsidP="00435E98">
      <w:pPr>
        <w:autoSpaceDE w:val="0"/>
        <w:autoSpaceDN w:val="0"/>
        <w:adjustRightInd w:val="0"/>
        <w:ind w:firstLine="708"/>
        <w:jc w:val="both"/>
      </w:pPr>
    </w:p>
    <w:tbl>
      <w:tblPr>
        <w:tblStyle w:val="a3"/>
        <w:tblW w:w="0" w:type="auto"/>
        <w:tblLook w:val="04A0"/>
      </w:tblPr>
      <w:tblGrid>
        <w:gridCol w:w="4786"/>
        <w:gridCol w:w="5245"/>
      </w:tblGrid>
      <w:tr w:rsidR="00435E98" w:rsidTr="00435E98">
        <w:trPr>
          <w:trHeight w:val="236"/>
        </w:trPr>
        <w:tc>
          <w:tcPr>
            <w:tcW w:w="4786" w:type="dxa"/>
          </w:tcPr>
          <w:p w:rsidR="00435E98" w:rsidRDefault="00435E98" w:rsidP="00435E98">
            <w:pPr>
              <w:autoSpaceDE w:val="0"/>
              <w:autoSpaceDN w:val="0"/>
              <w:adjustRightInd w:val="0"/>
              <w:jc w:val="center"/>
              <w:rPr>
                <w:rFonts w:eastAsiaTheme="minorHAnsi"/>
                <w:lang w:eastAsia="en-US"/>
              </w:rPr>
            </w:pPr>
            <w:r>
              <w:rPr>
                <w:rFonts w:eastAsiaTheme="minorHAnsi"/>
                <w:lang w:eastAsia="en-US"/>
              </w:rPr>
              <w:t xml:space="preserve">Действующая редакция </w:t>
            </w:r>
          </w:p>
        </w:tc>
        <w:tc>
          <w:tcPr>
            <w:tcW w:w="5245" w:type="dxa"/>
          </w:tcPr>
          <w:p w:rsidR="00435E98" w:rsidRDefault="00435E98" w:rsidP="00435E98">
            <w:pPr>
              <w:autoSpaceDE w:val="0"/>
              <w:autoSpaceDN w:val="0"/>
              <w:adjustRightInd w:val="0"/>
              <w:jc w:val="center"/>
              <w:rPr>
                <w:rFonts w:eastAsiaTheme="minorHAnsi"/>
                <w:lang w:eastAsia="en-US"/>
              </w:rPr>
            </w:pPr>
            <w:r>
              <w:rPr>
                <w:rFonts w:eastAsiaTheme="minorHAnsi"/>
                <w:lang w:eastAsia="en-US"/>
              </w:rPr>
              <w:t>Редакция с учетом изменения</w:t>
            </w:r>
          </w:p>
        </w:tc>
      </w:tr>
      <w:tr w:rsidR="00435E98" w:rsidRPr="00060DE1" w:rsidTr="00435E98">
        <w:trPr>
          <w:trHeight w:val="3573"/>
        </w:trPr>
        <w:tc>
          <w:tcPr>
            <w:tcW w:w="4786" w:type="dxa"/>
            <w:vAlign w:val="center"/>
          </w:tcPr>
          <w:p w:rsidR="00435E98" w:rsidRDefault="00435E98" w:rsidP="00435E98">
            <w:pPr>
              <w:pStyle w:val="ConsPlusNormal"/>
              <w:jc w:val="both"/>
              <w:rPr>
                <w:rFonts w:ascii="Times New Roman" w:hAnsi="Times New Roman" w:cs="Times New Roman"/>
                <w:sz w:val="24"/>
                <w:szCs w:val="24"/>
              </w:rPr>
            </w:pPr>
            <w:r w:rsidRPr="00397998">
              <w:rPr>
                <w:rFonts w:ascii="Times New Roman" w:hAnsi="Times New Roman" w:cs="Times New Roman"/>
                <w:sz w:val="24"/>
                <w:szCs w:val="24"/>
              </w:rPr>
              <w:t xml:space="preserve">19. </w:t>
            </w:r>
            <w:proofErr w:type="gramStart"/>
            <w:r w:rsidRPr="00397998">
              <w:rPr>
                <w:rFonts w:ascii="Times New Roman" w:hAnsi="Times New Roman" w:cs="Times New Roman"/>
                <w:sz w:val="24"/>
                <w:szCs w:val="24"/>
              </w:rPr>
              <w:t xml:space="preserve">Главные распорядители (главные администраторы источников финансирования) в соответствии с основаниями, установленными пунктом 3 статьи 217 Бюджетного кодекса Российской Федерации, и </w:t>
            </w:r>
            <w:r w:rsidRPr="004E244B">
              <w:rPr>
                <w:rFonts w:ascii="Times New Roman" w:hAnsi="Times New Roman" w:cs="Times New Roman"/>
                <w:strike/>
                <w:color w:val="0070C0"/>
                <w:sz w:val="24"/>
                <w:szCs w:val="24"/>
              </w:rPr>
              <w:t>иными</w:t>
            </w:r>
            <w:r w:rsidRPr="00397998">
              <w:rPr>
                <w:rFonts w:ascii="Times New Roman" w:hAnsi="Times New Roman" w:cs="Times New Roman"/>
                <w:sz w:val="24"/>
                <w:szCs w:val="24"/>
              </w:rPr>
              <w:t xml:space="preserve"> основаниями, установленными </w:t>
            </w:r>
            <w:r w:rsidRPr="000F5DD4">
              <w:rPr>
                <w:rFonts w:ascii="Times New Roman" w:hAnsi="Times New Roman" w:cs="Times New Roman"/>
                <w:sz w:val="24"/>
                <w:szCs w:val="24"/>
              </w:rPr>
              <w:t>в соответствии с бюджетным законодательством, предоставляют в</w:t>
            </w:r>
            <w:r w:rsidRPr="0022792F">
              <w:rPr>
                <w:rFonts w:ascii="Times New Roman" w:hAnsi="Times New Roman" w:cs="Times New Roman"/>
                <w:sz w:val="24"/>
                <w:szCs w:val="24"/>
              </w:rPr>
              <w:t xml:space="preserve"> Комитет по финансам</w:t>
            </w:r>
            <w:r w:rsidRPr="00DA3CF3">
              <w:rPr>
                <w:rFonts w:ascii="Times New Roman" w:hAnsi="Times New Roman" w:cs="Times New Roman"/>
                <w:sz w:val="24"/>
                <w:szCs w:val="24"/>
              </w:rPr>
              <w:t xml:space="preserve"> заявки об изменении показателей сводной бюджетной росписи, лимитов бюджетных обязательств в следующем порядке:</w:t>
            </w:r>
            <w:proofErr w:type="gramEnd"/>
          </w:p>
          <w:p w:rsidR="00435E98" w:rsidRPr="00060DE1" w:rsidRDefault="00435E98" w:rsidP="00435E98">
            <w:pPr>
              <w:autoSpaceDE w:val="0"/>
              <w:autoSpaceDN w:val="0"/>
              <w:adjustRightInd w:val="0"/>
              <w:jc w:val="both"/>
              <w:rPr>
                <w:rFonts w:eastAsiaTheme="minorHAnsi"/>
                <w:lang w:eastAsia="en-US"/>
              </w:rPr>
            </w:pPr>
          </w:p>
        </w:tc>
        <w:tc>
          <w:tcPr>
            <w:tcW w:w="5245" w:type="dxa"/>
            <w:vAlign w:val="center"/>
          </w:tcPr>
          <w:p w:rsidR="00435E98" w:rsidRDefault="00435E98" w:rsidP="00435E98">
            <w:pPr>
              <w:pStyle w:val="ConsPlusNormal"/>
              <w:jc w:val="both"/>
              <w:rPr>
                <w:rFonts w:ascii="Times New Roman" w:hAnsi="Times New Roman" w:cs="Times New Roman"/>
                <w:sz w:val="24"/>
                <w:szCs w:val="24"/>
              </w:rPr>
            </w:pPr>
            <w:r w:rsidRPr="00397998">
              <w:rPr>
                <w:rFonts w:ascii="Times New Roman" w:hAnsi="Times New Roman" w:cs="Times New Roman"/>
                <w:sz w:val="24"/>
                <w:szCs w:val="24"/>
              </w:rPr>
              <w:t xml:space="preserve">19. </w:t>
            </w:r>
            <w:proofErr w:type="gramStart"/>
            <w:r w:rsidRPr="00397998">
              <w:rPr>
                <w:rFonts w:ascii="Times New Roman" w:hAnsi="Times New Roman" w:cs="Times New Roman"/>
                <w:sz w:val="24"/>
                <w:szCs w:val="24"/>
              </w:rPr>
              <w:t xml:space="preserve">Главные распорядители (главные администраторы источников финансирования) в соответствии с основаниями, установленными пунктом 3 статьи 217 Бюджетного кодекса Российской Федерации, и </w:t>
            </w:r>
            <w:r w:rsidRPr="004E244B">
              <w:rPr>
                <w:rFonts w:ascii="Times New Roman" w:hAnsi="Times New Roman" w:cs="Times New Roman"/>
                <w:color w:val="0070C0"/>
                <w:sz w:val="24"/>
                <w:szCs w:val="24"/>
              </w:rPr>
              <w:t>дополнительными</w:t>
            </w:r>
            <w:r w:rsidRPr="00397998">
              <w:rPr>
                <w:rFonts w:ascii="Times New Roman" w:hAnsi="Times New Roman" w:cs="Times New Roman"/>
                <w:sz w:val="24"/>
                <w:szCs w:val="24"/>
              </w:rPr>
              <w:t xml:space="preserve"> основаниями, установленными </w:t>
            </w:r>
            <w:r w:rsidRPr="000F5DD4">
              <w:rPr>
                <w:rFonts w:ascii="Times New Roman" w:hAnsi="Times New Roman" w:cs="Times New Roman"/>
                <w:sz w:val="24"/>
                <w:szCs w:val="24"/>
              </w:rPr>
              <w:t>в соответствии с бюджетным законодательством, предоставляют в</w:t>
            </w:r>
            <w:r w:rsidRPr="0022792F">
              <w:rPr>
                <w:rFonts w:ascii="Times New Roman" w:hAnsi="Times New Roman" w:cs="Times New Roman"/>
                <w:sz w:val="24"/>
                <w:szCs w:val="24"/>
              </w:rPr>
              <w:t xml:space="preserve"> Комитет по финансам</w:t>
            </w:r>
            <w:r w:rsidRPr="00DA3CF3">
              <w:rPr>
                <w:rFonts w:ascii="Times New Roman" w:hAnsi="Times New Roman" w:cs="Times New Roman"/>
                <w:sz w:val="24"/>
                <w:szCs w:val="24"/>
              </w:rPr>
              <w:t xml:space="preserve"> заявки об изменении показателей сводной бюджетной росписи, лимитов бюджетных обязательств в следующем порядке:</w:t>
            </w:r>
            <w:proofErr w:type="gramEnd"/>
          </w:p>
          <w:p w:rsidR="00435E98" w:rsidRPr="00060DE1" w:rsidRDefault="00435E98" w:rsidP="00435E98">
            <w:pPr>
              <w:autoSpaceDE w:val="0"/>
              <w:autoSpaceDN w:val="0"/>
              <w:adjustRightInd w:val="0"/>
              <w:jc w:val="both"/>
              <w:rPr>
                <w:rFonts w:eastAsiaTheme="minorHAnsi"/>
                <w:i/>
                <w:lang w:eastAsia="en-US"/>
              </w:rPr>
            </w:pPr>
          </w:p>
        </w:tc>
      </w:tr>
    </w:tbl>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roofErr w:type="gramStart"/>
      <w:r>
        <w:rPr>
          <w:rFonts w:eastAsiaTheme="minorHAnsi"/>
          <w:lang w:eastAsia="en-US"/>
        </w:rPr>
        <w:t xml:space="preserve">Проектом предусмотрено внесение изменений, руководствуясь приказом Департамента финансов Ханты-Мансийского автономного округа - </w:t>
      </w:r>
      <w:proofErr w:type="spellStart"/>
      <w:r>
        <w:rPr>
          <w:rFonts w:eastAsiaTheme="minorHAnsi"/>
          <w:lang w:eastAsia="en-US"/>
        </w:rPr>
        <w:t>Югры</w:t>
      </w:r>
      <w:proofErr w:type="spellEnd"/>
      <w:r>
        <w:rPr>
          <w:rFonts w:eastAsiaTheme="minorHAnsi"/>
          <w:lang w:eastAsia="en-US"/>
        </w:rPr>
        <w:t xml:space="preserve"> от 5 декабря 2008 года №227/1-о «Об утверждении порядка составления и ведения сводной бюджетной росписи бюджета Ханты-Мансийского автономного округа - </w:t>
      </w:r>
      <w:proofErr w:type="spellStart"/>
      <w:r>
        <w:rPr>
          <w:rFonts w:eastAsiaTheme="minorHAnsi"/>
          <w:lang w:eastAsia="en-US"/>
        </w:rPr>
        <w:t>Югры</w:t>
      </w:r>
      <w:proofErr w:type="spellEnd"/>
      <w:r>
        <w:rPr>
          <w:rFonts w:eastAsiaTheme="minorHAnsi"/>
          <w:lang w:eastAsia="en-US"/>
        </w:rPr>
        <w:t xml:space="preserve">, бюджетных росписей главных распорядителей средств бюджета Ханты-Мансийского автономного округа - </w:t>
      </w:r>
      <w:proofErr w:type="spellStart"/>
      <w:r>
        <w:rPr>
          <w:rFonts w:eastAsiaTheme="minorHAnsi"/>
          <w:lang w:eastAsia="en-US"/>
        </w:rPr>
        <w:t>Югры</w:t>
      </w:r>
      <w:proofErr w:type="spellEnd"/>
      <w:r>
        <w:rPr>
          <w:rFonts w:eastAsiaTheme="minorHAnsi"/>
          <w:lang w:eastAsia="en-US"/>
        </w:rPr>
        <w:t xml:space="preserve"> (главных администраторов источников внутреннего финансирования дефицита бюджета Ханты-Мансийского автономного округа - </w:t>
      </w:r>
      <w:proofErr w:type="spellStart"/>
      <w:r>
        <w:rPr>
          <w:rFonts w:eastAsiaTheme="minorHAnsi"/>
          <w:lang w:eastAsia="en-US"/>
        </w:rPr>
        <w:t>Югры</w:t>
      </w:r>
      <w:proofErr w:type="spellEnd"/>
      <w:r>
        <w:rPr>
          <w:rFonts w:eastAsiaTheme="minorHAnsi"/>
          <w:lang w:eastAsia="en-US"/>
        </w:rPr>
        <w:t>) и лимитов бюджетных обязательств Ханты-Мансийского автономного</w:t>
      </w:r>
      <w:proofErr w:type="gramEnd"/>
      <w:r>
        <w:rPr>
          <w:rFonts w:eastAsiaTheme="minorHAnsi"/>
          <w:lang w:eastAsia="en-US"/>
        </w:rPr>
        <w:t xml:space="preserve"> округа – </w:t>
      </w:r>
      <w:proofErr w:type="spellStart"/>
      <w:r>
        <w:rPr>
          <w:rFonts w:eastAsiaTheme="minorHAnsi"/>
          <w:lang w:eastAsia="en-US"/>
        </w:rPr>
        <w:t>Югры</w:t>
      </w:r>
      <w:proofErr w:type="spellEnd"/>
      <w:r>
        <w:rPr>
          <w:rFonts w:eastAsiaTheme="minorHAnsi"/>
          <w:lang w:eastAsia="en-US"/>
        </w:rPr>
        <w:t xml:space="preserve">, порядка формирования и направления уведомлений о предоставлении межбюджетных трансфертов из бюджета Ханты-Мансийского автономного округа – </w:t>
      </w:r>
      <w:proofErr w:type="spellStart"/>
      <w:r>
        <w:rPr>
          <w:rFonts w:eastAsiaTheme="minorHAnsi"/>
          <w:lang w:eastAsia="en-US"/>
        </w:rPr>
        <w:t>Югры</w:t>
      </w:r>
      <w:proofErr w:type="spellEnd"/>
      <w:r>
        <w:rPr>
          <w:rFonts w:eastAsiaTheme="minorHAnsi"/>
          <w:lang w:eastAsia="en-US"/>
        </w:rPr>
        <w:t>»:</w:t>
      </w: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tbl>
      <w:tblPr>
        <w:tblStyle w:val="a3"/>
        <w:tblW w:w="0" w:type="auto"/>
        <w:tblLook w:val="04A0"/>
      </w:tblPr>
      <w:tblGrid>
        <w:gridCol w:w="4219"/>
        <w:gridCol w:w="5812"/>
      </w:tblGrid>
      <w:tr w:rsidR="00435E98" w:rsidTr="00435E98">
        <w:trPr>
          <w:trHeight w:val="376"/>
        </w:trPr>
        <w:tc>
          <w:tcPr>
            <w:tcW w:w="4219" w:type="dxa"/>
          </w:tcPr>
          <w:p w:rsidR="00435E98" w:rsidRDefault="00435E98" w:rsidP="00435E98">
            <w:pPr>
              <w:autoSpaceDE w:val="0"/>
              <w:autoSpaceDN w:val="0"/>
              <w:adjustRightInd w:val="0"/>
              <w:jc w:val="center"/>
              <w:rPr>
                <w:rFonts w:eastAsiaTheme="minorHAnsi"/>
                <w:lang w:eastAsia="en-US"/>
              </w:rPr>
            </w:pPr>
            <w:r>
              <w:rPr>
                <w:rFonts w:eastAsiaTheme="minorHAnsi"/>
                <w:lang w:eastAsia="en-US"/>
              </w:rPr>
              <w:lastRenderedPageBreak/>
              <w:t xml:space="preserve">Действующая редакция </w:t>
            </w:r>
          </w:p>
        </w:tc>
        <w:tc>
          <w:tcPr>
            <w:tcW w:w="5812" w:type="dxa"/>
          </w:tcPr>
          <w:p w:rsidR="00435E98" w:rsidRDefault="00435E98" w:rsidP="00435E98">
            <w:pPr>
              <w:autoSpaceDE w:val="0"/>
              <w:autoSpaceDN w:val="0"/>
              <w:adjustRightInd w:val="0"/>
              <w:jc w:val="center"/>
              <w:rPr>
                <w:rFonts w:eastAsiaTheme="minorHAnsi"/>
                <w:lang w:eastAsia="en-US"/>
              </w:rPr>
            </w:pPr>
            <w:r>
              <w:rPr>
                <w:rFonts w:eastAsiaTheme="minorHAnsi"/>
                <w:lang w:eastAsia="en-US"/>
              </w:rPr>
              <w:t>Редакция с учетом изменения</w:t>
            </w:r>
          </w:p>
        </w:tc>
      </w:tr>
      <w:tr w:rsidR="00435E98" w:rsidRPr="00060DE1" w:rsidTr="00435E98">
        <w:trPr>
          <w:trHeight w:val="4714"/>
        </w:trPr>
        <w:tc>
          <w:tcPr>
            <w:tcW w:w="4219" w:type="dxa"/>
            <w:vAlign w:val="bottom"/>
          </w:tcPr>
          <w:p w:rsidR="00435E98" w:rsidRPr="00975D3D" w:rsidRDefault="00435E98" w:rsidP="00435E98">
            <w:pPr>
              <w:pStyle w:val="ConsPlusNormal"/>
              <w:rPr>
                <w:rFonts w:eastAsiaTheme="minorHAnsi"/>
                <w:color w:val="0070C0"/>
              </w:rPr>
            </w:pPr>
            <w:r w:rsidRPr="00975D3D">
              <w:rPr>
                <w:rFonts w:ascii="Times New Roman" w:hAnsi="Times New Roman" w:cs="Times New Roman"/>
                <w:color w:val="0070C0"/>
                <w:sz w:val="24"/>
                <w:szCs w:val="24"/>
              </w:rPr>
              <w:t>подпункт отсутствовал</w:t>
            </w:r>
          </w:p>
        </w:tc>
        <w:tc>
          <w:tcPr>
            <w:tcW w:w="5812" w:type="dxa"/>
          </w:tcPr>
          <w:p w:rsidR="00435E98" w:rsidRPr="004E244B" w:rsidRDefault="00435E98" w:rsidP="00435E98">
            <w:pPr>
              <w:autoSpaceDE w:val="0"/>
              <w:autoSpaceDN w:val="0"/>
              <w:adjustRightInd w:val="0"/>
              <w:jc w:val="both"/>
              <w:rPr>
                <w:rFonts w:eastAsiaTheme="minorHAnsi"/>
                <w:i/>
                <w:sz w:val="24"/>
                <w:szCs w:val="24"/>
                <w:lang w:eastAsia="en-US"/>
              </w:rPr>
            </w:pPr>
            <w:r w:rsidRPr="004E244B">
              <w:rPr>
                <w:sz w:val="24"/>
                <w:szCs w:val="24"/>
              </w:rPr>
              <w:t xml:space="preserve">19.4.1. </w:t>
            </w:r>
            <w:proofErr w:type="gramStart"/>
            <w:r w:rsidRPr="004E244B">
              <w:rPr>
                <w:sz w:val="24"/>
                <w:szCs w:val="24"/>
              </w:rPr>
              <w:t xml:space="preserve">По бюджетным инвестициям в объекты капитального строительства муниципальной собственности, на приобретение социальных объектов недвижимого имущества и объектам, создаваемым в соответствии с соглашениями о </w:t>
            </w:r>
            <w:proofErr w:type="spellStart"/>
            <w:r w:rsidRPr="004E244B">
              <w:rPr>
                <w:sz w:val="24"/>
                <w:szCs w:val="24"/>
              </w:rPr>
              <w:t>муниципально-частном</w:t>
            </w:r>
            <w:proofErr w:type="spellEnd"/>
            <w:r w:rsidRPr="004E244B">
              <w:rPr>
                <w:sz w:val="24"/>
                <w:szCs w:val="24"/>
              </w:rPr>
              <w:t xml:space="preserve"> партнерстве и концессионными соглашениями, изменения показателей сводной бюджетной росписи расходов, лимитов бюджетных обязательств производятся на основании изменений в перечень реализуемых объектов на текущий финансовый год и плановый период, включая приобретение объектов недвижимого имущества, объектов, создаваемых в</w:t>
            </w:r>
            <w:proofErr w:type="gramEnd"/>
            <w:r w:rsidRPr="004E244B">
              <w:rPr>
                <w:sz w:val="24"/>
                <w:szCs w:val="24"/>
              </w:rPr>
              <w:t xml:space="preserve"> </w:t>
            </w:r>
            <w:proofErr w:type="gramStart"/>
            <w:r w:rsidRPr="004E244B">
              <w:rPr>
                <w:sz w:val="24"/>
                <w:szCs w:val="24"/>
              </w:rPr>
              <w:t>соответствии</w:t>
            </w:r>
            <w:proofErr w:type="gramEnd"/>
            <w:r w:rsidRPr="004E244B">
              <w:rPr>
                <w:sz w:val="24"/>
                <w:szCs w:val="24"/>
              </w:rPr>
              <w:t xml:space="preserve"> с соглашениями о </w:t>
            </w:r>
            <w:proofErr w:type="spellStart"/>
            <w:r w:rsidRPr="004E244B">
              <w:rPr>
                <w:sz w:val="24"/>
                <w:szCs w:val="24"/>
              </w:rPr>
              <w:t>муниципально-частном</w:t>
            </w:r>
            <w:proofErr w:type="spellEnd"/>
            <w:r w:rsidRPr="004E244B">
              <w:rPr>
                <w:sz w:val="24"/>
                <w:szCs w:val="24"/>
              </w:rPr>
              <w:t xml:space="preserve"> партнерстве и концессионными соглашениями, утвержденными муниципальными программами муниципального образования.</w:t>
            </w:r>
          </w:p>
        </w:tc>
      </w:tr>
      <w:tr w:rsidR="00435E98" w:rsidRPr="00060DE1" w:rsidTr="00435E98">
        <w:trPr>
          <w:trHeight w:val="2304"/>
        </w:trPr>
        <w:tc>
          <w:tcPr>
            <w:tcW w:w="4219" w:type="dxa"/>
            <w:vAlign w:val="bottom"/>
          </w:tcPr>
          <w:p w:rsidR="00435E98" w:rsidRPr="00975D3D" w:rsidRDefault="00435E98" w:rsidP="00435E98">
            <w:pPr>
              <w:pStyle w:val="ConsPlusNormal"/>
              <w:rPr>
                <w:rFonts w:ascii="Times New Roman" w:hAnsi="Times New Roman" w:cs="Times New Roman"/>
                <w:color w:val="0070C0"/>
                <w:sz w:val="24"/>
                <w:szCs w:val="24"/>
              </w:rPr>
            </w:pPr>
            <w:r w:rsidRPr="00975D3D">
              <w:rPr>
                <w:rFonts w:ascii="Times New Roman" w:hAnsi="Times New Roman" w:cs="Times New Roman"/>
                <w:color w:val="0070C0"/>
                <w:sz w:val="24"/>
                <w:szCs w:val="24"/>
              </w:rPr>
              <w:t>абзац отсутствовал</w:t>
            </w:r>
          </w:p>
        </w:tc>
        <w:tc>
          <w:tcPr>
            <w:tcW w:w="5812" w:type="dxa"/>
          </w:tcPr>
          <w:p w:rsidR="00435E98" w:rsidRPr="004E244B" w:rsidRDefault="00435E98" w:rsidP="00435E98">
            <w:pPr>
              <w:autoSpaceDE w:val="0"/>
              <w:autoSpaceDN w:val="0"/>
              <w:adjustRightInd w:val="0"/>
              <w:ind w:firstLine="34"/>
              <w:jc w:val="both"/>
              <w:rPr>
                <w:sz w:val="24"/>
                <w:szCs w:val="24"/>
              </w:rPr>
            </w:pPr>
            <w:r w:rsidRPr="004E244B">
              <w:rPr>
                <w:sz w:val="24"/>
                <w:szCs w:val="24"/>
              </w:rPr>
              <w:t xml:space="preserve">Абзац шестнадцатый подпункта 19.7 </w:t>
            </w:r>
            <w:hyperlink r:id="rId5" w:history="1">
              <w:r w:rsidRPr="004E244B">
                <w:rPr>
                  <w:sz w:val="24"/>
                  <w:szCs w:val="24"/>
                </w:rPr>
                <w:t>пункта 19</w:t>
              </w:r>
            </w:hyperlink>
            <w:r w:rsidRPr="004E244B">
              <w:rPr>
                <w:sz w:val="24"/>
                <w:szCs w:val="24"/>
              </w:rPr>
              <w:t xml:space="preserve">: </w:t>
            </w:r>
          </w:p>
          <w:p w:rsidR="00435E98" w:rsidRPr="004E244B" w:rsidRDefault="00435E98" w:rsidP="00435E98">
            <w:pPr>
              <w:autoSpaceDE w:val="0"/>
              <w:autoSpaceDN w:val="0"/>
              <w:adjustRightInd w:val="0"/>
              <w:ind w:firstLine="34"/>
              <w:jc w:val="both"/>
            </w:pPr>
            <w:r w:rsidRPr="004E244B">
              <w:rPr>
                <w:sz w:val="24"/>
                <w:szCs w:val="24"/>
              </w:rPr>
              <w:t xml:space="preserve">02.13.0 - Изменения, вносимые в связи с перераспределением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4E244B">
              <w:rPr>
                <w:sz w:val="24"/>
                <w:szCs w:val="24"/>
              </w:rPr>
              <w:t>коронавирусной</w:t>
            </w:r>
            <w:proofErr w:type="spellEnd"/>
            <w:r w:rsidRPr="004E244B">
              <w:rPr>
                <w:sz w:val="24"/>
                <w:szCs w:val="24"/>
              </w:rPr>
              <w:t xml:space="preserve"> инфекции.</w:t>
            </w:r>
          </w:p>
        </w:tc>
      </w:tr>
      <w:tr w:rsidR="00435E98" w:rsidRPr="00060DE1" w:rsidTr="00435E98">
        <w:trPr>
          <w:trHeight w:val="3122"/>
        </w:trPr>
        <w:tc>
          <w:tcPr>
            <w:tcW w:w="4219" w:type="dxa"/>
          </w:tcPr>
          <w:p w:rsidR="00435E98" w:rsidRPr="004E244B" w:rsidRDefault="00435E98" w:rsidP="00435E98">
            <w:pPr>
              <w:autoSpaceDE w:val="0"/>
              <w:autoSpaceDN w:val="0"/>
              <w:adjustRightInd w:val="0"/>
              <w:jc w:val="both"/>
              <w:rPr>
                <w:rFonts w:eastAsia="Calibri"/>
                <w:sz w:val="24"/>
                <w:szCs w:val="24"/>
              </w:rPr>
            </w:pPr>
            <w:r w:rsidRPr="004E244B">
              <w:rPr>
                <w:rFonts w:eastAsia="Calibri"/>
                <w:sz w:val="24"/>
                <w:szCs w:val="24"/>
              </w:rPr>
              <w:t xml:space="preserve">25. </w:t>
            </w:r>
            <w:proofErr w:type="gramStart"/>
            <w:r w:rsidRPr="004E244B">
              <w:rPr>
                <w:rFonts w:eastAsia="Calibri"/>
                <w:sz w:val="24"/>
                <w:szCs w:val="24"/>
              </w:rPr>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w:t>
            </w:r>
            <w:r w:rsidRPr="004E244B">
              <w:rPr>
                <w:sz w:val="24"/>
                <w:szCs w:val="24"/>
              </w:rPr>
              <w:t xml:space="preserve">, за исключением расходов на исполнение требований по исполнительным документам, расходов на уплату налогов, государственных пошлин, расходов за счет межбюджетных трансфертов, предоставляемых из федерального бюджета и бюджета автономного округа на обеспечение доли </w:t>
            </w:r>
            <w:proofErr w:type="spellStart"/>
            <w:r w:rsidRPr="004E244B">
              <w:rPr>
                <w:sz w:val="24"/>
                <w:szCs w:val="24"/>
              </w:rPr>
              <w:t>софинансирования</w:t>
            </w:r>
            <w:proofErr w:type="spellEnd"/>
            <w:r w:rsidRPr="004E244B">
              <w:rPr>
                <w:sz w:val="24"/>
                <w:szCs w:val="24"/>
              </w:rPr>
              <w:t xml:space="preserve"> межбюджетных субсидий из федерального бюджета и бюджета</w:t>
            </w:r>
            <w:proofErr w:type="gramEnd"/>
            <w:r w:rsidRPr="004E244B">
              <w:rPr>
                <w:sz w:val="24"/>
                <w:szCs w:val="24"/>
              </w:rPr>
              <w:t xml:space="preserve"> автономного округа, безвозмездных поступлений от физических и юридических лиц.</w:t>
            </w:r>
          </w:p>
          <w:p w:rsidR="00435E98" w:rsidRPr="004E244B" w:rsidRDefault="00435E98" w:rsidP="00435E98">
            <w:pPr>
              <w:pStyle w:val="ConsPlusNormal"/>
              <w:rPr>
                <w:rFonts w:ascii="Times New Roman" w:hAnsi="Times New Roman" w:cs="Times New Roman"/>
                <w:i/>
                <w:sz w:val="24"/>
                <w:szCs w:val="24"/>
                <w:highlight w:val="yellow"/>
              </w:rPr>
            </w:pPr>
          </w:p>
        </w:tc>
        <w:tc>
          <w:tcPr>
            <w:tcW w:w="5812" w:type="dxa"/>
          </w:tcPr>
          <w:p w:rsidR="00435E98" w:rsidRPr="004E244B" w:rsidRDefault="00435E98" w:rsidP="00435E98">
            <w:pPr>
              <w:autoSpaceDE w:val="0"/>
              <w:autoSpaceDN w:val="0"/>
              <w:adjustRightInd w:val="0"/>
              <w:jc w:val="both"/>
              <w:rPr>
                <w:sz w:val="24"/>
                <w:szCs w:val="24"/>
              </w:rPr>
            </w:pPr>
            <w:r w:rsidRPr="004E244B">
              <w:rPr>
                <w:sz w:val="24"/>
                <w:szCs w:val="24"/>
              </w:rPr>
              <w:t xml:space="preserve">25. </w:t>
            </w:r>
            <w:proofErr w:type="gramStart"/>
            <w:r w:rsidRPr="004E244B">
              <w:rPr>
                <w:sz w:val="24"/>
                <w:szCs w:val="24"/>
              </w:rPr>
              <w:t>Внесение изменений в показатели сводной бюджетной росписи, лимиты бюджетных обязательств осуществляется не позднее двух рабочих дней до окончания текущего финансового года, за исключением расходов на исполнение требований по исполнительным документам, расходов на уплату налогов, государственных пошлин, пособий за первые три дня временной нетрудоспособности за счет средств работодателя, в случае заболевания работника или полученной им травмы (за исключением несчастных случаев на</w:t>
            </w:r>
            <w:proofErr w:type="gramEnd"/>
            <w:r w:rsidRPr="004E244B">
              <w:rPr>
                <w:sz w:val="24"/>
                <w:szCs w:val="24"/>
              </w:rPr>
              <w:t xml:space="preserve"> </w:t>
            </w:r>
            <w:proofErr w:type="gramStart"/>
            <w:r w:rsidRPr="004E244B">
              <w:rPr>
                <w:sz w:val="24"/>
                <w:szCs w:val="24"/>
              </w:rPr>
              <w:t xml:space="preserve">производстве профессиональных заболеваний), взносов по обязательному социальному страхованию на выплаты денежного содержания и иные выплаты работникам, расходов за счет межбюджетных трансфертов, предоставляемых из федерального бюджета, бюджета автономного округа, безвозмездных поступлений от физических и юридических лиц, расходов для муниципальных нужд в целях реализации мероприятий, связанных с профилактикой и устранением последствий распространения </w:t>
            </w:r>
            <w:proofErr w:type="spellStart"/>
            <w:r w:rsidRPr="004E244B">
              <w:rPr>
                <w:sz w:val="24"/>
                <w:szCs w:val="24"/>
              </w:rPr>
              <w:t>коронавирусной</w:t>
            </w:r>
            <w:proofErr w:type="spellEnd"/>
            <w:r w:rsidRPr="004E244B">
              <w:rPr>
                <w:sz w:val="24"/>
                <w:szCs w:val="24"/>
              </w:rPr>
              <w:t xml:space="preserve"> инфекции.</w:t>
            </w:r>
            <w:proofErr w:type="gramEnd"/>
          </w:p>
        </w:tc>
      </w:tr>
    </w:tbl>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ind w:firstLine="708"/>
        <w:jc w:val="both"/>
        <w:rPr>
          <w:rFonts w:eastAsiaTheme="minorHAnsi"/>
          <w:lang w:eastAsia="en-US"/>
        </w:rPr>
      </w:pPr>
    </w:p>
    <w:p w:rsidR="00435E98" w:rsidRDefault="00435E98" w:rsidP="00435E98">
      <w:pPr>
        <w:autoSpaceDE w:val="0"/>
        <w:autoSpaceDN w:val="0"/>
        <w:adjustRightInd w:val="0"/>
        <w:jc w:val="both"/>
        <w:rPr>
          <w:rFonts w:eastAsiaTheme="minorHAnsi"/>
          <w:lang w:eastAsia="en-US"/>
        </w:rPr>
      </w:pPr>
      <w:r>
        <w:rPr>
          <w:rFonts w:eastAsiaTheme="minorHAnsi"/>
          <w:lang w:eastAsia="en-US"/>
        </w:rPr>
        <w:t>Начальник отдела сводного бюджетного планирования</w:t>
      </w:r>
    </w:p>
    <w:p w:rsidR="00D115BE" w:rsidRDefault="00435E98" w:rsidP="00435E98">
      <w:pPr>
        <w:autoSpaceDE w:val="0"/>
        <w:autoSpaceDN w:val="0"/>
        <w:adjustRightInd w:val="0"/>
        <w:jc w:val="both"/>
      </w:pPr>
      <w:r>
        <w:rPr>
          <w:rFonts w:eastAsiaTheme="minorHAnsi"/>
          <w:lang w:eastAsia="en-US"/>
        </w:rPr>
        <w:t xml:space="preserve">и использования бюджета бюджетного управления                         </w:t>
      </w:r>
      <w:r>
        <w:t xml:space="preserve">                        </w:t>
      </w:r>
      <w:proofErr w:type="spellStart"/>
      <w:r>
        <w:t>С.Е.Щепелина</w:t>
      </w:r>
      <w:proofErr w:type="spellEnd"/>
    </w:p>
    <w:sectPr w:rsidR="00D115BE" w:rsidSect="00435E98">
      <w:pgSz w:w="11906" w:h="16838"/>
      <w:pgMar w:top="1134" w:right="850"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5E98"/>
    <w:rsid w:val="0004423E"/>
    <w:rsid w:val="00057759"/>
    <w:rsid w:val="001A7AA1"/>
    <w:rsid w:val="00435E98"/>
    <w:rsid w:val="00975D3D"/>
    <w:rsid w:val="00A709D3"/>
    <w:rsid w:val="00D11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5E9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5E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35E98"/>
    <w:pPr>
      <w:autoSpaceDE w:val="0"/>
      <w:autoSpaceDN w:val="0"/>
      <w:adjustRightInd w:val="0"/>
      <w:spacing w:after="0" w:line="240" w:lineRule="auto"/>
    </w:pPr>
    <w:rPr>
      <w:rFonts w:ascii="Arial" w:eastAsia="Calibri" w:hAnsi="Arial" w:cs="Arial"/>
      <w:sz w:val="20"/>
      <w:szCs w:val="20"/>
    </w:rPr>
  </w:style>
  <w:style w:type="paragraph" w:styleId="a4">
    <w:name w:val="Plain Text"/>
    <w:basedOn w:val="a"/>
    <w:link w:val="a5"/>
    <w:uiPriority w:val="99"/>
    <w:semiHidden/>
    <w:unhideWhenUsed/>
    <w:rsid w:val="0004423E"/>
    <w:rPr>
      <w:rFonts w:ascii="Consolas" w:eastAsiaTheme="minorHAnsi" w:hAnsi="Consolas" w:cs="Consolas"/>
      <w:sz w:val="21"/>
      <w:szCs w:val="21"/>
    </w:rPr>
  </w:style>
  <w:style w:type="character" w:customStyle="1" w:styleId="a5">
    <w:name w:val="Текст Знак"/>
    <w:basedOn w:val="a0"/>
    <w:link w:val="a4"/>
    <w:uiPriority w:val="99"/>
    <w:semiHidden/>
    <w:rsid w:val="0004423E"/>
    <w:rPr>
      <w:rFonts w:ascii="Consolas" w:hAnsi="Consolas" w:cs="Consolas"/>
      <w:sz w:val="21"/>
      <w:szCs w:val="21"/>
      <w:lang w:eastAsia="ru-RU"/>
    </w:rPr>
  </w:style>
</w:styles>
</file>

<file path=word/webSettings.xml><?xml version="1.0" encoding="utf-8"?>
<w:webSettings xmlns:r="http://schemas.openxmlformats.org/officeDocument/2006/relationships" xmlns:w="http://schemas.openxmlformats.org/wordprocessingml/2006/main">
  <w:divs>
    <w:div w:id="185880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456319B086BF4D09C28A3A84E8BE476E5F358FBF12B6AC718735F68055FEC11322907EA9B79626F3965A10C67AB2E5A6504E06FD69C05C70595D1B5mEP2L" TargetMode="External"/><Relationship Id="rId4" Type="http://schemas.openxmlformats.org/officeDocument/2006/relationships/hyperlink" Target="consultantplus://offline/ref=4456319B086BF4D09C28A3A84E8BE476E5F358FBF12B6AC718735F68055FEC11322907EA89793A633A64BA0E66BE780B23m5P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828</Words>
  <Characters>4721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Щепелина</dc:creator>
  <cp:keywords/>
  <dc:description/>
  <cp:lastModifiedBy>Щепелина</cp:lastModifiedBy>
  <cp:revision>4</cp:revision>
  <dcterms:created xsi:type="dcterms:W3CDTF">2021-04-14T13:01:00Z</dcterms:created>
  <dcterms:modified xsi:type="dcterms:W3CDTF">2021-04-27T09:51:00Z</dcterms:modified>
</cp:coreProperties>
</file>