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 xml:space="preserve">В соответствии с методическими рекомендациями по определению в Ханты-Мансийском автономном округе – </w:t>
      </w:r>
      <w:proofErr w:type="spellStart"/>
      <w:r w:rsidRPr="008F6E5D">
        <w:rPr>
          <w:rFonts w:ascii="Arial" w:eastAsia="Times New Roman" w:hAnsi="Arial" w:cs="Arial"/>
          <w:color w:val="263238"/>
          <w:sz w:val="21"/>
          <w:szCs w:val="21"/>
          <w:lang w:eastAsia="ru-RU"/>
        </w:rPr>
        <w:t>Югре</w:t>
      </w:r>
      <w:proofErr w:type="spellEnd"/>
      <w:r w:rsidRPr="008F6E5D">
        <w:rPr>
          <w:rFonts w:ascii="Arial" w:eastAsia="Times New Roman" w:hAnsi="Arial" w:cs="Arial"/>
          <w:color w:val="263238"/>
          <w:sz w:val="21"/>
          <w:szCs w:val="21"/>
          <w:lang w:eastAsia="ru-RU"/>
        </w:rPr>
        <w:t xml:space="preserve"> потребности в привлечении иностранных работников, прибывающих в Российскую Федерацию на основании визы,  организации работы по замене иностранных работников гражданами Российской Федерации (согласно распоряжению </w:t>
      </w:r>
      <w:proofErr w:type="spellStart"/>
      <w:r w:rsidRPr="008F6E5D">
        <w:rPr>
          <w:rFonts w:ascii="Arial" w:eastAsia="Times New Roman" w:hAnsi="Arial" w:cs="Arial"/>
          <w:color w:val="263238"/>
          <w:sz w:val="21"/>
          <w:szCs w:val="21"/>
          <w:lang w:eastAsia="ru-RU"/>
        </w:rPr>
        <w:t>Дептруда</w:t>
      </w:r>
      <w:proofErr w:type="spellEnd"/>
      <w:r w:rsidRPr="008F6E5D">
        <w:rPr>
          <w:rFonts w:ascii="Arial" w:eastAsia="Times New Roman" w:hAnsi="Arial" w:cs="Arial"/>
          <w:color w:val="263238"/>
          <w:sz w:val="21"/>
          <w:szCs w:val="21"/>
          <w:lang w:eastAsia="ru-RU"/>
        </w:rPr>
        <w:t xml:space="preserve"> и занятости </w:t>
      </w:r>
      <w:proofErr w:type="spellStart"/>
      <w:r w:rsidRPr="008F6E5D">
        <w:rPr>
          <w:rFonts w:ascii="Arial" w:eastAsia="Times New Roman" w:hAnsi="Arial" w:cs="Arial"/>
          <w:color w:val="263238"/>
          <w:sz w:val="21"/>
          <w:szCs w:val="21"/>
          <w:lang w:eastAsia="ru-RU"/>
        </w:rPr>
        <w:t>Югры</w:t>
      </w:r>
      <w:proofErr w:type="spellEnd"/>
      <w:r w:rsidRPr="008F6E5D">
        <w:rPr>
          <w:rFonts w:ascii="Arial" w:eastAsia="Times New Roman" w:hAnsi="Arial" w:cs="Arial"/>
          <w:color w:val="263238"/>
          <w:sz w:val="21"/>
          <w:szCs w:val="21"/>
          <w:lang w:eastAsia="ru-RU"/>
        </w:rPr>
        <w:t xml:space="preserve"> от 15.02.2017  № 17-р-42),  КУ «Урайский центр занятости населения» информирует работодателей, планирующих привлечение иностранных работников, прибывающих в Российскую Федерацию на</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основании визы</w:t>
      </w:r>
      <w:proofErr w:type="gramEnd"/>
      <w:r w:rsidRPr="008F6E5D">
        <w:rPr>
          <w:rFonts w:ascii="Arial" w:eastAsia="Times New Roman" w:hAnsi="Arial" w:cs="Arial"/>
          <w:color w:val="263238"/>
          <w:sz w:val="21"/>
          <w:szCs w:val="21"/>
          <w:lang w:eastAsia="ru-RU"/>
        </w:rPr>
        <w:t xml:space="preserve">, в том числе увеличения (уменьшения) размера потребности  в привлечении иностранных работников </w:t>
      </w:r>
      <w:proofErr w:type="gramStart"/>
      <w:r w:rsidRPr="008F6E5D">
        <w:rPr>
          <w:rFonts w:ascii="Arial" w:eastAsia="Times New Roman" w:hAnsi="Arial" w:cs="Arial"/>
          <w:color w:val="263238"/>
          <w:sz w:val="21"/>
          <w:szCs w:val="21"/>
          <w:lang w:eastAsia="ru-RU"/>
        </w:rPr>
        <w:t>в</w:t>
      </w:r>
      <w:proofErr w:type="gramEnd"/>
      <w:r w:rsidRPr="008F6E5D">
        <w:rPr>
          <w:rFonts w:ascii="Arial" w:eastAsia="Times New Roman" w:hAnsi="Arial" w:cs="Arial"/>
          <w:color w:val="263238"/>
          <w:sz w:val="21"/>
          <w:szCs w:val="21"/>
          <w:lang w:eastAsia="ru-RU"/>
        </w:rPr>
        <w:t xml:space="preserve"> </w:t>
      </w:r>
      <w:proofErr w:type="gramStart"/>
      <w:r w:rsidRPr="008F6E5D">
        <w:rPr>
          <w:rFonts w:ascii="Arial" w:eastAsia="Times New Roman" w:hAnsi="Arial" w:cs="Arial"/>
          <w:color w:val="263238"/>
          <w:sz w:val="21"/>
          <w:szCs w:val="21"/>
          <w:lang w:eastAsia="ru-RU"/>
        </w:rPr>
        <w:t>Ханты-Мансийском</w:t>
      </w:r>
      <w:proofErr w:type="gramEnd"/>
      <w:r w:rsidRPr="008F6E5D">
        <w:rPr>
          <w:rFonts w:ascii="Arial" w:eastAsia="Times New Roman" w:hAnsi="Arial" w:cs="Arial"/>
          <w:color w:val="263238"/>
          <w:sz w:val="21"/>
          <w:szCs w:val="21"/>
          <w:lang w:eastAsia="ru-RU"/>
        </w:rPr>
        <w:t xml:space="preserve"> автономном округе – </w:t>
      </w:r>
      <w:proofErr w:type="spellStart"/>
      <w:r w:rsidRPr="008F6E5D">
        <w:rPr>
          <w:rFonts w:ascii="Arial" w:eastAsia="Times New Roman" w:hAnsi="Arial" w:cs="Arial"/>
          <w:color w:val="263238"/>
          <w:sz w:val="21"/>
          <w:szCs w:val="21"/>
          <w:lang w:eastAsia="ru-RU"/>
        </w:rPr>
        <w:t>Югре</w:t>
      </w:r>
      <w:proofErr w:type="spellEnd"/>
      <w:r w:rsidRPr="008F6E5D">
        <w:rPr>
          <w:rFonts w:ascii="Arial" w:eastAsia="Times New Roman" w:hAnsi="Arial" w:cs="Arial"/>
          <w:color w:val="263238"/>
          <w:sz w:val="21"/>
          <w:szCs w:val="21"/>
          <w:lang w:eastAsia="ru-RU"/>
        </w:rPr>
        <w:t>, организации работы по замене иностранных работников гражданами Российской Федерации.</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Потребность, в том числе увеличение (уменьшение) размера потребности, определяется на основании заявок работодателей, заказчиков работ (услуг) (за исключением  физических лиц, привлекающих иностранных работников для личных, домашних и иных нужд, не связанных с осуществлением предпринимательской деятельности) о потребности в привлечении иностранных работников, прибывающих в Российскую Федерацию на основании визы, для замещения вакантных и создаваемых рабочих мест либо выполнения работ (оказания услуг).</w:t>
      </w:r>
      <w:proofErr w:type="gramEnd"/>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За 1 месяц до подачи заявки о потребности (заявки об увеличении размера потребности) работодателю необходимо предварительно представить в центр занятости по месту привлечения работников сведения о потребности в работниках, наличии свободных рабочих мест (вакантных должностей) для подбора необходимых работников из числа российских граждан, в том числе граждан из других регионов Российской Федерации, по профессиям (специальностям, должностям), на которые планируется привлечение</w:t>
      </w:r>
      <w:proofErr w:type="gramEnd"/>
      <w:r w:rsidRPr="008F6E5D">
        <w:rPr>
          <w:rFonts w:ascii="Arial" w:eastAsia="Times New Roman" w:hAnsi="Arial" w:cs="Arial"/>
          <w:color w:val="263238"/>
          <w:sz w:val="21"/>
          <w:szCs w:val="21"/>
          <w:lang w:eastAsia="ru-RU"/>
        </w:rPr>
        <w:t xml:space="preserve"> иностранных работников, с пометкой «</w:t>
      </w:r>
      <w:r w:rsidRPr="008F6E5D">
        <w:rPr>
          <w:rFonts w:ascii="Arial" w:eastAsia="Times New Roman" w:hAnsi="Arial" w:cs="Arial"/>
          <w:b/>
          <w:bCs/>
          <w:i/>
          <w:iCs/>
          <w:color w:val="263238"/>
          <w:sz w:val="21"/>
          <w:lang w:eastAsia="ru-RU"/>
        </w:rPr>
        <w:t>Для замены иностранной рабочей силы</w:t>
      </w:r>
      <w:r w:rsidRPr="008F6E5D">
        <w:rPr>
          <w:rFonts w:ascii="Arial" w:eastAsia="Times New Roman" w:hAnsi="Arial" w:cs="Arial"/>
          <w:color w:val="263238"/>
          <w:sz w:val="21"/>
          <w:szCs w:val="21"/>
          <w:lang w:eastAsia="ru-RU"/>
        </w:rPr>
        <w:t>».</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При невозможности замещения свободных рабочих мест российскими гражданами работодатели оформляют заявки о потребности, заявки об увеличении размера потребности с использованием АИК «Миграционные квоты», размещенной в информационно – телекоммуникационной сети «Интернет» (</w:t>
      </w:r>
      <w:hyperlink r:id="rId5" w:history="1">
        <w:proofErr w:type="gramEnd"/>
        <w:r w:rsidRPr="008F6E5D">
          <w:rPr>
            <w:rFonts w:ascii="Arial" w:eastAsia="Times New Roman" w:hAnsi="Arial" w:cs="Arial"/>
            <w:color w:val="007054"/>
            <w:sz w:val="21"/>
            <w:lang w:eastAsia="ru-RU"/>
          </w:rPr>
          <w:t>www.migrakvota.gov.ru</w:t>
        </w:r>
        <w:proofErr w:type="gramStart"/>
      </w:hyperlink>
      <w:r w:rsidRPr="008F6E5D">
        <w:rPr>
          <w:rFonts w:ascii="Arial" w:eastAsia="Times New Roman" w:hAnsi="Arial" w:cs="Arial"/>
          <w:color w:val="263238"/>
          <w:sz w:val="21"/>
          <w:szCs w:val="21"/>
          <w:lang w:eastAsia="ru-RU"/>
        </w:rPr>
        <w:t>), выводят их на печать и представляют в центры занятости населения по месту привлечения иностранных работников на бумажном носителе в 2-х экземплярах по установленной форме утвержденной приказом Министерства</w:t>
      </w:r>
      <w:proofErr w:type="gramEnd"/>
      <w:r w:rsidRPr="008F6E5D">
        <w:rPr>
          <w:rFonts w:ascii="Arial" w:eastAsia="Times New Roman" w:hAnsi="Arial" w:cs="Arial"/>
          <w:color w:val="263238"/>
          <w:sz w:val="21"/>
          <w:szCs w:val="21"/>
          <w:lang w:eastAsia="ru-RU"/>
        </w:rPr>
        <w:t xml:space="preserve"> труда и социальной защиты Российской Федерации № 27н от 23 января 2014 года «Об утверждении Правил определения органами государственной власти субъекта Российской Федерации потребности в привлечении иностранных работников» (приложения 1).</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Предложения по определению потребности и увеличению (уменьшению) потребности на предстоящий и текущий годы</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u w:val="single"/>
          <w:lang w:eastAsia="ru-RU"/>
        </w:rPr>
        <w:t>заявки представляются в следующие сроки:</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с 1 по 7 число каждого месяца, но не позднее 7 июля</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текущего года</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lang w:eastAsia="ru-RU"/>
        </w:rPr>
        <w:t>заявки об  увеличении (уменьшении) размера определенной потребности</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на текущий год</w:t>
      </w:r>
      <w:r w:rsidRPr="008F6E5D">
        <w:rPr>
          <w:rFonts w:ascii="Arial" w:eastAsia="Times New Roman" w:hAnsi="Arial" w:cs="Arial"/>
          <w:color w:val="263238"/>
          <w:sz w:val="21"/>
          <w:szCs w:val="21"/>
          <w:lang w:eastAsia="ru-RU"/>
        </w:rPr>
        <w:t>;</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с 1 по 7 июня и с 1 по 7 июля текущего года</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lang w:eastAsia="ru-RU"/>
        </w:rPr>
        <w:t>заявки о потребности</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на предстоящий год</w:t>
      </w:r>
      <w:r w:rsidRPr="008F6E5D">
        <w:rPr>
          <w:rFonts w:ascii="Arial" w:eastAsia="Times New Roman" w:hAnsi="Arial" w:cs="Arial"/>
          <w:color w:val="263238"/>
          <w:sz w:val="21"/>
          <w:szCs w:val="21"/>
          <w:lang w:eastAsia="ru-RU"/>
        </w:rPr>
        <w:t>;</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с 1 по 7 октября </w:t>
      </w:r>
      <w:r w:rsidRPr="008F6E5D">
        <w:rPr>
          <w:rFonts w:ascii="Arial" w:eastAsia="Times New Roman" w:hAnsi="Arial" w:cs="Arial"/>
          <w:color w:val="263238"/>
          <w:sz w:val="21"/>
          <w:szCs w:val="21"/>
          <w:lang w:eastAsia="ru-RU"/>
        </w:rPr>
        <w:t>заявки</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об увеличении (уменьшении)</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lang w:eastAsia="ru-RU"/>
        </w:rPr>
        <w:t>размера определенной потребности</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на предстоящий год</w:t>
      </w:r>
      <w:r w:rsidRPr="008F6E5D">
        <w:rPr>
          <w:rFonts w:ascii="Arial" w:eastAsia="Times New Roman" w:hAnsi="Arial" w:cs="Arial"/>
          <w:color w:val="263238"/>
          <w:sz w:val="21"/>
          <w:szCs w:val="21"/>
          <w:lang w:eastAsia="ru-RU"/>
        </w:rPr>
        <w:t>.</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u w:val="single"/>
          <w:lang w:eastAsia="ru-RU"/>
        </w:rPr>
        <w:t>К рассмотрению не принимаются заявки</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lang w:eastAsia="ru-RU"/>
        </w:rPr>
        <w:t>о потребности, заявки об увеличении размера потребности, в которых:</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допустимая доля иностранных работников, используемых хозяйствующими субъектами, осуществляющими деятельность в сфере розничной торговли и в области спорта на территории Российской Федерации, превышает установленные пределы, ежегодно определяемые Правительством Российской Федерации;</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 потребность в иностранных работниках указана по профессиям, включенным в</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перечень профессий</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lang w:eastAsia="ru-RU"/>
        </w:rPr>
        <w:t>(специальностей, должностей) иностранных граждан – квалифицированных специалистов, трудоустраивающихся по имеющейся у них профессии (специальности),</w:t>
      </w:r>
      <w:r w:rsidRPr="008F6E5D">
        <w:rPr>
          <w:rFonts w:ascii="Arial" w:eastAsia="Times New Roman" w:hAnsi="Arial" w:cs="Arial"/>
          <w:color w:val="263238"/>
          <w:sz w:val="21"/>
          <w:lang w:eastAsia="ru-RU"/>
        </w:rPr>
        <w:t> </w:t>
      </w:r>
      <w:r w:rsidRPr="008F6E5D">
        <w:rPr>
          <w:rFonts w:ascii="Arial" w:eastAsia="Times New Roman" w:hAnsi="Arial" w:cs="Arial"/>
          <w:b/>
          <w:bCs/>
          <w:i/>
          <w:iCs/>
          <w:color w:val="263238"/>
          <w:sz w:val="21"/>
          <w:lang w:eastAsia="ru-RU"/>
        </w:rPr>
        <w:t>на которых квоты не распространяются</w:t>
      </w:r>
      <w:r w:rsidRPr="008F6E5D">
        <w:rPr>
          <w:rFonts w:ascii="Arial" w:eastAsia="Times New Roman" w:hAnsi="Arial" w:cs="Arial"/>
          <w:color w:val="263238"/>
          <w:sz w:val="21"/>
          <w:szCs w:val="21"/>
          <w:lang w:eastAsia="ru-RU"/>
        </w:rPr>
        <w:t>,</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u w:val="single"/>
          <w:lang w:eastAsia="ru-RU"/>
        </w:rPr>
        <w:t>утвержденный</w:t>
      </w:r>
      <w:r w:rsidRPr="008F6E5D">
        <w:rPr>
          <w:rFonts w:ascii="Arial" w:eastAsia="Times New Roman" w:hAnsi="Arial" w:cs="Arial"/>
          <w:color w:val="263238"/>
          <w:sz w:val="21"/>
          <w:lang w:eastAsia="ru-RU"/>
        </w:rPr>
        <w:t> </w:t>
      </w:r>
      <w:r w:rsidRPr="008F6E5D">
        <w:rPr>
          <w:rFonts w:ascii="Arial" w:eastAsia="Times New Roman" w:hAnsi="Arial" w:cs="Arial"/>
          <w:color w:val="263238"/>
          <w:sz w:val="21"/>
          <w:szCs w:val="21"/>
          <w:u w:val="single"/>
          <w:lang w:eastAsia="ru-RU"/>
        </w:rPr>
        <w:t>приказом Министерства труда и социальной защиты Российской Федерации;</w:t>
      </w:r>
      <w:proofErr w:type="gramEnd"/>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lastRenderedPageBreak/>
        <w:t>— указана потребность в высококвалифицированных специалистах и гражданах, предполагаемых к привлечению в рамках межправительственных соглашений об упрощенном порядке привлечения иностранных работников;</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размер заработной платы, указанный работодателем в заявке ниже: указанного в сведениях о потребности в работниках, наличии свободных рабочих мест (вакантных должностей);</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proofErr w:type="gramStart"/>
      <w:r w:rsidRPr="008F6E5D">
        <w:rPr>
          <w:rFonts w:ascii="Arial" w:eastAsia="Times New Roman" w:hAnsi="Arial" w:cs="Arial"/>
          <w:color w:val="263238"/>
          <w:sz w:val="21"/>
          <w:szCs w:val="21"/>
          <w:lang w:eastAsia="ru-RU"/>
        </w:rPr>
        <w:t>— размер заработной платы, указанный работодателем в заявке ниже минимальных гарантий по оплате труда, определенных заключенным на федеральном уровне отраслевым тарифным соглашением, которое распространяется на сферу деятельности (вид экономической деятельности) работодателя, планирующего привлечение иностранных работников (данное требование не распространяется на работодателей, представивших документы, подтверждающие их отказ в присоединении к отраслевому тарифному соглашению в порядке статьи 48 Трудового кодекса Российской Федерации);</w:t>
      </w:r>
      <w:proofErr w:type="gramEnd"/>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xml:space="preserve">— размер заработной платы, указанный работодателем в заявке, ниже минимального размера заработной платы, установленного </w:t>
      </w:r>
      <w:proofErr w:type="gramStart"/>
      <w:r w:rsidRPr="008F6E5D">
        <w:rPr>
          <w:rFonts w:ascii="Arial" w:eastAsia="Times New Roman" w:hAnsi="Arial" w:cs="Arial"/>
          <w:color w:val="263238"/>
          <w:sz w:val="21"/>
          <w:szCs w:val="21"/>
          <w:lang w:eastAsia="ru-RU"/>
        </w:rPr>
        <w:t>в</w:t>
      </w:r>
      <w:proofErr w:type="gramEnd"/>
      <w:r w:rsidRPr="008F6E5D">
        <w:rPr>
          <w:rFonts w:ascii="Arial" w:eastAsia="Times New Roman" w:hAnsi="Arial" w:cs="Arial"/>
          <w:color w:val="263238"/>
          <w:sz w:val="21"/>
          <w:szCs w:val="21"/>
          <w:lang w:eastAsia="ru-RU"/>
        </w:rPr>
        <w:t xml:space="preserve"> </w:t>
      </w:r>
      <w:proofErr w:type="gramStart"/>
      <w:r w:rsidRPr="008F6E5D">
        <w:rPr>
          <w:rFonts w:ascii="Arial" w:eastAsia="Times New Roman" w:hAnsi="Arial" w:cs="Arial"/>
          <w:color w:val="263238"/>
          <w:sz w:val="21"/>
          <w:szCs w:val="21"/>
          <w:lang w:eastAsia="ru-RU"/>
        </w:rPr>
        <w:t>Ханты-Мансийском</w:t>
      </w:r>
      <w:proofErr w:type="gramEnd"/>
      <w:r w:rsidRPr="008F6E5D">
        <w:rPr>
          <w:rFonts w:ascii="Arial" w:eastAsia="Times New Roman" w:hAnsi="Arial" w:cs="Arial"/>
          <w:color w:val="263238"/>
          <w:sz w:val="21"/>
          <w:szCs w:val="21"/>
          <w:lang w:eastAsia="ru-RU"/>
        </w:rPr>
        <w:t xml:space="preserve"> автономном округе – </w:t>
      </w:r>
      <w:proofErr w:type="spellStart"/>
      <w:r w:rsidRPr="008F6E5D">
        <w:rPr>
          <w:rFonts w:ascii="Arial" w:eastAsia="Times New Roman" w:hAnsi="Arial" w:cs="Arial"/>
          <w:color w:val="263238"/>
          <w:sz w:val="21"/>
          <w:szCs w:val="21"/>
          <w:lang w:eastAsia="ru-RU"/>
        </w:rPr>
        <w:t>Югре</w:t>
      </w:r>
      <w:proofErr w:type="spellEnd"/>
      <w:r w:rsidRPr="008F6E5D">
        <w:rPr>
          <w:rFonts w:ascii="Arial" w:eastAsia="Times New Roman" w:hAnsi="Arial" w:cs="Arial"/>
          <w:color w:val="263238"/>
          <w:sz w:val="21"/>
          <w:szCs w:val="21"/>
          <w:lang w:eastAsia="ru-RU"/>
        </w:rPr>
        <w:t>.</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b/>
          <w:bCs/>
          <w:color w:val="263238"/>
          <w:sz w:val="21"/>
          <w:lang w:eastAsia="ru-RU"/>
        </w:rPr>
        <w:t>НЕОБХОДИМЫЕ ДОКУМЕНТЫ:</w:t>
      </w:r>
    </w:p>
    <w:p w:rsidR="008F6E5D" w:rsidRPr="008F6E5D" w:rsidRDefault="008F6E5D" w:rsidP="008F6E5D">
      <w:pPr>
        <w:numPr>
          <w:ilvl w:val="0"/>
          <w:numId w:val="1"/>
        </w:numPr>
        <w:shd w:val="clear" w:color="auto" w:fill="ECEFF1"/>
        <w:spacing w:before="100" w:beforeAutospacing="1" w:after="100" w:afterAutospacing="1"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xml:space="preserve">Вместе с заявкой о потребности, заявкой об увеличении размера потребности работодатель представляет в 2-х экземплярах сопроводительное письмо – обоснование потребности в привлечении иностранных работников, адресованное Межведомственной комиссии по вопросам привлечения и использования иностранных работников Ханты-Мансийского автономного круга – </w:t>
      </w:r>
      <w:proofErr w:type="spellStart"/>
      <w:r w:rsidRPr="008F6E5D">
        <w:rPr>
          <w:rFonts w:ascii="Arial" w:eastAsia="Times New Roman" w:hAnsi="Arial" w:cs="Arial"/>
          <w:color w:val="263238"/>
          <w:sz w:val="21"/>
          <w:szCs w:val="21"/>
          <w:lang w:eastAsia="ru-RU"/>
        </w:rPr>
        <w:t>Югры</w:t>
      </w:r>
      <w:proofErr w:type="spellEnd"/>
      <w:r w:rsidRPr="008F6E5D">
        <w:rPr>
          <w:rFonts w:ascii="Arial" w:eastAsia="Times New Roman" w:hAnsi="Arial" w:cs="Arial"/>
          <w:color w:val="263238"/>
          <w:sz w:val="21"/>
          <w:szCs w:val="21"/>
          <w:lang w:eastAsia="ru-RU"/>
        </w:rPr>
        <w:t>, заверенное подписью руководителя и печатью организации, в котором отражается:</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наименование организации;</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юридический и фактический адрес;</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период работы на рынке труда на территории муниципального образования;</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взаимодействие с органами службы занятости (участие в мероприятиях программ занятости населения и т.д.);</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взаимодействие с органами местного самоуправления;</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количественное соотношение работающих иностранных и российских граждан (в том числе местного населения и прибывших российских граждан из других субъектов РФ) за последние три года;</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объемы работ, для реализации которых заявлена потребность в иностранных работниках;</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использование работодателем квоты на осуществление иностранными гражданами трудовой деятельности на территории автономного округа в динамике за три  предшествующих года;</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обеспечение жильем и предоставление других социальных гарантий работникам (с приложением подтверждающих документов);</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отсутствие задолженности по налоговым платежам, страховым взносам во внебюджетные фонды, своевременное предоставление налоговой отчетности за предшествующий отчетный период (рекомендуется приложить подтверждающие документы);</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предоставление иностранным работникам медицинской помощи на основании договора, заключенного работодателем с медицинской организацией, о предоставлении иностранному работнику платных медицинских услуг или договора (полиса) добровольного медицинского страхования иностранного работника;</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контактные данные представителя работодателя.</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lastRenderedPageBreak/>
        <w:t>Заявки по утвержденным формам размещаются в обязательном порядке в автоматизированном информационном комплексе «Миграционные квоты», с заявкой, представленной работодателем на бумажном носителе.</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 xml:space="preserve">Заявки работодателей представляются в казенные учреждения Ханты-Мансийского автономного округа – </w:t>
      </w:r>
      <w:proofErr w:type="spellStart"/>
      <w:r w:rsidRPr="008F6E5D">
        <w:rPr>
          <w:rFonts w:ascii="Arial" w:eastAsia="Times New Roman" w:hAnsi="Arial" w:cs="Arial"/>
          <w:color w:val="263238"/>
          <w:sz w:val="21"/>
          <w:szCs w:val="21"/>
          <w:lang w:eastAsia="ru-RU"/>
        </w:rPr>
        <w:t>Югры</w:t>
      </w:r>
      <w:proofErr w:type="spellEnd"/>
      <w:r w:rsidRPr="008F6E5D">
        <w:rPr>
          <w:rFonts w:ascii="Arial" w:eastAsia="Times New Roman" w:hAnsi="Arial" w:cs="Arial"/>
          <w:color w:val="263238"/>
          <w:sz w:val="21"/>
          <w:szCs w:val="21"/>
          <w:lang w:eastAsia="ru-RU"/>
        </w:rPr>
        <w:t xml:space="preserve"> центры занятости населения в муниципальном образовании, на территории которого планируется привлечение иностранных работников.</w:t>
      </w:r>
    </w:p>
    <w:p w:rsidR="008F6E5D" w:rsidRPr="008F6E5D" w:rsidRDefault="008F6E5D" w:rsidP="008F6E5D">
      <w:pPr>
        <w:shd w:val="clear" w:color="auto" w:fill="ECEFF1"/>
        <w:spacing w:after="150" w:line="240" w:lineRule="auto"/>
        <w:rPr>
          <w:rFonts w:ascii="Arial" w:eastAsia="Times New Roman" w:hAnsi="Arial" w:cs="Arial"/>
          <w:color w:val="263238"/>
          <w:sz w:val="21"/>
          <w:szCs w:val="21"/>
          <w:lang w:eastAsia="ru-RU"/>
        </w:rPr>
      </w:pPr>
      <w:r w:rsidRPr="008F6E5D">
        <w:rPr>
          <w:rFonts w:ascii="Arial" w:eastAsia="Times New Roman" w:hAnsi="Arial" w:cs="Arial"/>
          <w:color w:val="263238"/>
          <w:sz w:val="21"/>
          <w:szCs w:val="21"/>
          <w:lang w:eastAsia="ru-RU"/>
        </w:rPr>
        <w:t>(тел для справок: 8(34676)3-01-71)</w:t>
      </w:r>
    </w:p>
    <w:p w:rsidR="00ED6DBA" w:rsidRDefault="00ED6DBA"/>
    <w:sectPr w:rsidR="00ED6DBA" w:rsidSect="00ED6D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F2208"/>
    <w:multiLevelType w:val="multilevel"/>
    <w:tmpl w:val="E2E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E5D"/>
    <w:rsid w:val="008F6E5D"/>
    <w:rsid w:val="00ED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E5D"/>
  </w:style>
  <w:style w:type="character" w:styleId="a4">
    <w:name w:val="Strong"/>
    <w:basedOn w:val="a0"/>
    <w:uiPriority w:val="22"/>
    <w:qFormat/>
    <w:rsid w:val="008F6E5D"/>
    <w:rPr>
      <w:b/>
      <w:bCs/>
    </w:rPr>
  </w:style>
  <w:style w:type="character" w:styleId="a5">
    <w:name w:val="Emphasis"/>
    <w:basedOn w:val="a0"/>
    <w:uiPriority w:val="20"/>
    <w:qFormat/>
    <w:rsid w:val="008F6E5D"/>
    <w:rPr>
      <w:i/>
      <w:iCs/>
    </w:rPr>
  </w:style>
  <w:style w:type="character" w:styleId="a6">
    <w:name w:val="Hyperlink"/>
    <w:basedOn w:val="a0"/>
    <w:uiPriority w:val="99"/>
    <w:semiHidden/>
    <w:unhideWhenUsed/>
    <w:rsid w:val="008F6E5D"/>
    <w:rPr>
      <w:color w:val="0000FF"/>
      <w:u w:val="single"/>
    </w:rPr>
  </w:style>
</w:styles>
</file>

<file path=word/webSettings.xml><?xml version="1.0" encoding="utf-8"?>
<w:webSettings xmlns:r="http://schemas.openxmlformats.org/officeDocument/2006/relationships" xmlns:w="http://schemas.openxmlformats.org/wordprocessingml/2006/main">
  <w:divs>
    <w:div w:id="8561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grakvota.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Иноземцева</dc:creator>
  <cp:keywords/>
  <dc:description/>
  <cp:lastModifiedBy>Иноземцева</cp:lastModifiedBy>
  <cp:revision>2</cp:revision>
  <dcterms:created xsi:type="dcterms:W3CDTF">2017-03-22T09:27:00Z</dcterms:created>
  <dcterms:modified xsi:type="dcterms:W3CDTF">2017-03-22T09:28:00Z</dcterms:modified>
</cp:coreProperties>
</file>